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F379DF">
      <w:pPr>
        <w:spacing w:after="0" w:line="240" w:lineRule="auto"/>
        <w:jc w:val="both"/>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g">
            <w:drawing>
              <wp:anchor distT="0" distB="0" distL="114300" distR="114300" simplePos="0" relativeHeight="251659776" behindDoc="0" locked="0" layoutInCell="1" hidden="0" allowOverlap="1">
                <wp:simplePos x="0" y="0"/>
                <wp:positionH relativeFrom="column">
                  <wp:posOffset>215900</wp:posOffset>
                </wp:positionH>
                <wp:positionV relativeFrom="paragraph">
                  <wp:posOffset>111125</wp:posOffset>
                </wp:positionV>
                <wp:extent cx="5613400" cy="1117600"/>
                <wp:effectExtent l="25400" t="25400" r="25400" b="2540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3400" cy="1117600"/>
                          <a:chOff x="1719" y="4220"/>
                          <a:chExt cx="8840" cy="1760"/>
                        </a:xfrm>
                      </wpg:grpSpPr>
                      <wps:wsp>
                        <wps:cNvPr id="1" name="child 1"/>
                        <wps:cNvCnPr/>
                        <wps:spPr>
                          <a:xfrm>
                            <a:off x="1719" y="4220"/>
                            <a:ext cx="8840" cy="0"/>
                          </a:xfrm>
                          <a:prstGeom prst="straightConnector1">
                            <a:avLst/>
                          </a:prstGeom>
                          <a:noFill/>
                          <a:ln w="50800">
                            <a:solidFill>
                              <a:srgbClr val="6E8CEC"/>
                            </a:solidFill>
                          </a:ln>
                        </wps:spPr>
                        <wps:bodyPr/>
                      </wps:wsp>
                      <wps:wsp>
                        <wps:cNvPr id="2" name="child 2"/>
                        <wps:cNvCnPr/>
                        <wps:spPr>
                          <a:xfrm>
                            <a:off x="1719" y="5980"/>
                            <a:ext cx="8840" cy="0"/>
                          </a:xfrm>
                          <a:prstGeom prst="straightConnector1">
                            <a:avLst/>
                          </a:prstGeom>
                          <a:noFill/>
                          <a:ln w="50800">
                            <a:solidFill>
                              <a:srgbClr val="6E8CEC"/>
                            </a:solidFill>
                          </a:ln>
                        </wps:spPr>
                        <wps:bodyPr/>
                      </wps:wsp>
                      <wps:wsp>
                        <wps:cNvPr id="3" name="child 3"/>
                        <wps:cNvSpPr>
                          <a:spLocks/>
                        </wps:cNvSpPr>
                        <wps:spPr>
                          <a:xfrm>
                            <a:off x="1719" y="4320"/>
                            <a:ext cx="8820" cy="1560"/>
                          </a:xfrm>
                          <a:prstGeom prst="rect">
                            <a:avLst/>
                          </a:prstGeom>
                          <a:solidFill>
                            <a:srgbClr val="DFE4FA"/>
                          </a:solidFill>
                          <a:ln>
                            <a:noFill/>
                          </a:ln>
                        </wps:spPr>
                        <wps:txbx>
                          <w:txbxContent>
                            <w:p w:rsidR="00831C83" w:rsidRDefault="00831C83">
                              <w:pPr>
                                <w:spacing w:after="0" w:line="240" w:lineRule="exact"/>
                                <w:rPr>
                                  <w:sz w:val="24"/>
                                  <w:szCs w:val="24"/>
                                </w:rPr>
                              </w:pPr>
                            </w:p>
                            <w:p w:rsidR="00831C83" w:rsidRDefault="00F379DF">
                              <w:pPr>
                                <w:spacing w:after="0" w:line="876" w:lineRule="exact"/>
                                <w:jc w:val="center"/>
                                <w:rPr>
                                  <w:rFonts w:asciiTheme="majorEastAsia" w:eastAsiaTheme="majorEastAsia" w:hAnsiTheme="majorEastAsia"/>
                                  <w:b/>
                                  <w:sz w:val="56"/>
                                  <w:szCs w:val="56"/>
                                </w:rPr>
                              </w:pPr>
                              <w:r>
                                <w:rPr>
                                  <w:rFonts w:asciiTheme="majorEastAsia" w:eastAsiaTheme="majorEastAsia" w:hAnsiTheme="majorEastAsia"/>
                                  <w:b/>
                                  <w:w w:val="90"/>
                                  <w:sz w:val="56"/>
                                  <w:szCs w:val="56"/>
                                </w:rPr>
                                <w:t>투자일임업 수수료 부과기준 및 절차</w:t>
                              </w:r>
                            </w:p>
                          </w:txbxContent>
                        </wps:txbx>
                        <wps:bodyPr rot="0" vert="horz" wrap="square" lIns="0" tIns="0" rIns="0" bIns="0" anchor="t" upright="1">
                          <a:noAutofit/>
                        </wps:bodyPr>
                      </wps:wsp>
                    </wpg:wgp>
                  </a:graphicData>
                </a:graphic>
              </wp:anchor>
            </w:drawing>
          </mc:Choice>
          <mc:Fallback>
            <w:pict>
              <v:group id="shape1025" o:spid="_x0000_s1026" style="position:absolute;left:0;text-align:left;margin-left:17pt;margin-top:8.75pt;width:442pt;height:88pt;z-index:251659776" coordorigin="1719,4220" coordsize="884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">
                <v:shapetype id="_x0000_t32" coordsize="21600,21600" o:spt="32" o:oned="t" path="m,l21600,21600e" filled="f">
                  <v:path arrowok="t" fillok="f" o:connecttype="none"/>
                  <o:lock v:ext="edit" shapetype="t"/>
                </v:shapetype>
                <v:shape id="child 1" o:spid="_x0000_s1027" type="#_x0000_t32" style="position:absolute;left:1719;top:4220;width:8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" strokecolor="#6e8cec" strokeweight="4pt"/>
                <v:shape id="child 2" o:spid="_x0000_s1028" type="#_x0000_t32" style="position:absolute;left:1719;top:5980;width:8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" strokecolor="#6e8cec" strokeweight="4pt"/>
                <v:rect id="child 3" o:spid="_x0000_s1029" style="position:absolute;left:1719;top:4320;width:882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" fillcolor="#dfe4fa" stroked="f">
                  <v:textbox inset="0,0,0,0">
                    <w:txbxContent>
                      <w:p w:rsidR="00831C83" w:rsidRDefault="00831C83">
                        <w:pPr>
                          <w:spacing w:after="0" w:line="240" w:lineRule="exact"/>
                          <w:rPr>
                            <w:sz w:val="24"/>
                            <w:szCs w:val="24"/>
                          </w:rPr>
                        </w:pPr>
                      </w:p>
                      <w:p w:rsidR="00831C83" w:rsidRDefault="00F379DF">
                        <w:pPr>
                          <w:spacing w:after="0" w:line="876" w:lineRule="exact"/>
                          <w:jc w:val="center"/>
                          <w:rPr>
                            <w:rFonts w:asciiTheme="majorEastAsia" w:eastAsiaTheme="majorEastAsia" w:hAnsiTheme="majorEastAsia"/>
                            <w:b/>
                            <w:sz w:val="56"/>
                            <w:szCs w:val="56"/>
                          </w:rPr>
                        </w:pPr>
                        <w:r>
                          <w:rPr>
                            <w:rFonts w:asciiTheme="majorEastAsia" w:eastAsiaTheme="majorEastAsia" w:hAnsiTheme="majorEastAsia"/>
                            <w:b/>
                            <w:w w:val="90"/>
                            <w:sz w:val="56"/>
                            <w:szCs w:val="56"/>
                          </w:rPr>
                          <w:t>투자일임업 수수료 부과기준 및 절차</w:t>
                        </w:r>
                      </w:p>
                    </w:txbxContent>
                  </v:textbox>
                </v:rect>
              </v:group>
            </w:pict>
          </mc:Fallback>
        </mc:AlternateContent>
      </w: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831C83">
      <w:pPr>
        <w:spacing w:after="0" w:line="240" w:lineRule="auto"/>
        <w:jc w:val="both"/>
        <w:rPr>
          <w:rFonts w:asciiTheme="majorEastAsia" w:eastAsiaTheme="majorEastAsia" w:hAnsiTheme="majorEastAsia"/>
          <w:sz w:val="28"/>
          <w:szCs w:val="28"/>
        </w:rPr>
      </w:pPr>
    </w:p>
    <w:p w:rsidR="00831C83" w:rsidRDefault="00F379DF">
      <w:pPr>
        <w:spacing w:after="0" w:line="240" w:lineRule="auto"/>
        <w:jc w:val="center"/>
        <w:rPr>
          <w:rFonts w:asciiTheme="majorEastAsia" w:eastAsiaTheme="majorEastAsia" w:hAnsiTheme="majorEastAsia"/>
          <w:b/>
          <w:sz w:val="40"/>
          <w:szCs w:val="40"/>
        </w:rPr>
        <w:sectPr w:rsidR="00831C83">
          <w:footerReference w:type="default" r:id="rId7"/>
          <w:pgSz w:w="11900" w:h="16820"/>
          <w:pgMar w:top="1985" w:right="1440" w:bottom="1701" w:left="1440" w:header="709" w:footer="709" w:gutter="0"/>
          <w:cols w:space="708"/>
          <w:docGrid w:linePitch="360"/>
        </w:sectPr>
      </w:pPr>
      <w:r>
        <w:rPr>
          <w:rFonts w:asciiTheme="majorEastAsia" w:eastAsiaTheme="majorEastAsia" w:hAnsiTheme="majorEastAsia"/>
          <w:b/>
          <w:sz w:val="40"/>
          <w:szCs w:val="40"/>
        </w:rPr>
        <w:t>에이피자산운용(주)</w:t>
      </w:r>
    </w:p>
    <w:p w:rsidR="00831C83" w:rsidRDefault="00F379DF">
      <w:pPr>
        <w:spacing w:after="0" w:line="240" w:lineRule="auto"/>
        <w:jc w:val="right"/>
        <w:rPr>
          <w:rFonts w:asciiTheme="majorEastAsia" w:eastAsiaTheme="majorEastAsia" w:hAnsiTheme="majorEastAsia"/>
          <w:sz w:val="26"/>
          <w:szCs w:val="26"/>
        </w:rPr>
      </w:pPr>
      <w:r>
        <w:rPr>
          <w:rFonts w:asciiTheme="majorEastAsia" w:eastAsiaTheme="majorEastAsia" w:hAnsiTheme="majorEastAsia"/>
          <w:sz w:val="26"/>
          <w:szCs w:val="26"/>
          <w:highlight w:val="yellow"/>
        </w:rPr>
        <w:lastRenderedPageBreak/>
        <w:t>제정 2022. 04 . 13</w:t>
      </w:r>
    </w:p>
    <w:p w:rsidR="00831C83" w:rsidRDefault="00831C83">
      <w:pPr>
        <w:spacing w:after="0" w:line="240" w:lineRule="auto"/>
        <w:ind w:right="7180"/>
        <w:jc w:val="both"/>
        <w:rPr>
          <w:rFonts w:asciiTheme="majorEastAsia" w:eastAsiaTheme="majorEastAsia" w:hAnsiTheme="majorEastAsia"/>
          <w:w w:val="90"/>
          <w:sz w:val="26"/>
          <w:szCs w:val="26"/>
        </w:rPr>
      </w:pPr>
    </w:p>
    <w:p w:rsidR="00831C83" w:rsidRDefault="00F379DF">
      <w:pPr>
        <w:spacing w:after="0" w:line="240" w:lineRule="auto"/>
        <w:ind w:right="718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제1조 (목적)</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본 기준 및 절차는 『자본시장과 금융투자업에 관한 법률』 (이하 “법”이라 한다.) 제58조, 『금융소비자 보호에 관한 법률』 (이하 “금융소비자보호법”이라 한다.) 제19조제1항, 제22조 제3항에 의거 수수료 부과기준을 정함에 있어서 정당한 사유 없이 투자자를 차별하여 수수료 부과기준을 달리 적용하는 것을 방지하기 위하여 투자자로부터 수취하는 수수료의 부과 및 절차에 관한 사항을 정함을 목적으로 한다.</w:t>
      </w:r>
    </w:p>
    <w:p w:rsidR="00831C83" w:rsidRDefault="00831C83">
      <w:pPr>
        <w:spacing w:after="0" w:line="240" w:lineRule="auto"/>
        <w:ind w:right="260"/>
        <w:jc w:val="both"/>
        <w:rPr>
          <w:rFonts w:asciiTheme="majorEastAsia" w:eastAsiaTheme="majorEastAsia" w:hAnsiTheme="majorEastAsia"/>
          <w:w w:val="90"/>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제2조 (적용범위)</w:t>
      </w:r>
    </w:p>
    <w:p w:rsidR="00831C83" w:rsidRDefault="00831C83">
      <w:pPr>
        <w:spacing w:after="0" w:line="240" w:lineRule="auto"/>
        <w:ind w:right="260"/>
        <w:jc w:val="both"/>
        <w:rPr>
          <w:rFonts w:asciiTheme="majorEastAsia" w:eastAsiaTheme="majorEastAsia" w:hAnsiTheme="majorEastAsia"/>
          <w:w w:val="90"/>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투자자로부터 받는 수수료의 부과기준 및 절차에 관한 사항에 대하여 법, 법 시행령, 법 시행규칙, 금융투자업 규정 및 금융투자업규정 시행세칙 등(이하 “관련 법규”라고 한다)에 규정된 사항 이외에는 이 기준이 정하는 바에 따른다.</w:t>
      </w:r>
    </w:p>
    <w:p w:rsidR="00831C83" w:rsidRDefault="00831C83">
      <w:pPr>
        <w:spacing w:after="0" w:line="240" w:lineRule="auto"/>
        <w:ind w:right="260"/>
        <w:jc w:val="both"/>
        <w:rPr>
          <w:rFonts w:asciiTheme="majorEastAsia" w:eastAsiaTheme="majorEastAsia" w:hAnsiTheme="majorEastAsia"/>
          <w:w w:val="90"/>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제3조 (용어의 정의)</w:t>
      </w:r>
    </w:p>
    <w:p w:rsidR="00831C83" w:rsidRDefault="00831C83">
      <w:pPr>
        <w:spacing w:after="0" w:line="240" w:lineRule="auto"/>
        <w:ind w:right="260"/>
        <w:jc w:val="both"/>
        <w:rPr>
          <w:rFonts w:asciiTheme="majorEastAsia" w:eastAsiaTheme="majorEastAsia" w:hAnsiTheme="majorEastAsia"/>
          <w:w w:val="90"/>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이 기준 및 절차에서 사용하는 용어의 정의는 다음과 같다.</w:t>
      </w:r>
    </w:p>
    <w:p w:rsidR="00831C83" w:rsidRDefault="00831C83">
      <w:pPr>
        <w:spacing w:after="0" w:line="240" w:lineRule="auto"/>
        <w:ind w:right="240"/>
        <w:jc w:val="both"/>
        <w:rPr>
          <w:rFonts w:asciiTheme="majorEastAsia" w:eastAsiaTheme="majorEastAsia" w:hAnsiTheme="majorEastAsia"/>
          <w:sz w:val="26"/>
          <w:szCs w:val="26"/>
        </w:rPr>
      </w:pPr>
    </w:p>
    <w:p w:rsidR="00831C83" w:rsidRDefault="00F379DF">
      <w:pPr>
        <w:pStyle w:val="a4"/>
        <w:numPr>
          <w:ilvl w:val="0"/>
          <w:numId w:val="1"/>
        </w:numPr>
        <w:spacing w:after="0" w:line="240" w:lineRule="auto"/>
        <w:ind w:leftChars="0" w:left="426" w:right="240"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“투자일임”이란 투자자로부터 금융투자상품등에 대한 투자판단의 전부          또는 일부를 일임받아 투자자별로 구분하여 그 투자자의 재산상태나 투자목적    등을 고려하여 금융투자상품등을 취득ㆍ처분, 그 밖의 방법으로 운용하는 것을 영업으로 하는 것을 말한다.</w:t>
      </w:r>
    </w:p>
    <w:p w:rsidR="00831C83" w:rsidRDefault="00F379DF">
      <w:pPr>
        <w:pStyle w:val="a4"/>
        <w:numPr>
          <w:ilvl w:val="0"/>
          <w:numId w:val="1"/>
        </w:numPr>
        <w:spacing w:after="0" w:line="240" w:lineRule="auto"/>
        <w:ind w:leftChars="0" w:left="426" w:right="240"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“기본수수료”란 투자일임계약을 체결한 후 투자일임계약재산에 투자자와 사전에 약정된 수수료 부과기준을 적용하여 산출된 금액으로서 투자일임 서비스를 제공하는 대가로 운용성과 상관없이 투자자로부터 받는 보수를 말한다.</w:t>
      </w:r>
    </w:p>
    <w:p w:rsidR="00831C83" w:rsidRDefault="00F379DF">
      <w:pPr>
        <w:pStyle w:val="a4"/>
        <w:numPr>
          <w:ilvl w:val="0"/>
          <w:numId w:val="1"/>
        </w:numPr>
        <w:spacing w:after="0" w:line="240" w:lineRule="auto"/>
        <w:ind w:leftChars="0" w:left="426" w:right="240"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lastRenderedPageBreak/>
        <w:t>“성과수수료”란 투자일임계약을 체결한 후 계약기간 종료일(</w:t>
      </w:r>
      <w:bookmarkStart w:id="0" w:name="_GoBack"/>
      <w:bookmarkEnd w:id="0"/>
      <w:r>
        <w:rPr>
          <w:rFonts w:asciiTheme="majorEastAsia" w:eastAsiaTheme="majorEastAsia" w:hAnsiTheme="majorEastAsia"/>
          <w:w w:val="90"/>
          <w:sz w:val="26"/>
          <w:szCs w:val="26"/>
        </w:rPr>
        <w:t>중도 해지할 경우 중도해지일)에 계약자산을 평가하여 계약체 결시점에 투자자와 사전에 약정된 성과 수수료 부과기준을 충족한 경우 부과되는 수수료를 말한다.</w:t>
      </w:r>
    </w:p>
    <w:p w:rsidR="00831C83" w:rsidRDefault="00F379DF">
      <w:pPr>
        <w:pStyle w:val="a4"/>
        <w:numPr>
          <w:ilvl w:val="0"/>
          <w:numId w:val="1"/>
        </w:numPr>
        <w:spacing w:after="0" w:line="240" w:lineRule="auto"/>
        <w:ind w:leftChars="0" w:left="426" w:right="240"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“기준지표 등”이라 함은 성과수수료를 수령함에 있어 기준이 되는 목표수익률 로서, 금융위원회가 정하여 고시하는 기준지표 또는 회사와 고객간 합의에 의하여 정한 기준수익률을 말한다.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42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제4조 (수수료의 부과기준 및 절차)</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pStyle w:val="a4"/>
        <w:numPr>
          <w:ilvl w:val="0"/>
          <w:numId w:val="2"/>
        </w:numPr>
        <w:spacing w:after="0" w:line="240" w:lineRule="auto"/>
        <w:ind w:leftChars="0" w:left="426" w:right="89"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t>회사는 수수료 부과기준을 정함에 있어 각 일임계약의 개별성을 고려하여 책정하되 투자자를 정당한 사유 없이 차별하여서는 아니된다.</w:t>
      </w:r>
    </w:p>
    <w:p w:rsidR="00831C83" w:rsidRDefault="00F379DF">
      <w:pPr>
        <w:pStyle w:val="a4"/>
        <w:numPr>
          <w:ilvl w:val="0"/>
          <w:numId w:val="2"/>
        </w:numPr>
        <w:spacing w:after="0" w:line="240" w:lineRule="auto"/>
        <w:ind w:leftChars="0" w:left="426" w:right="89"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t>수수료는 운용자산의 특성, 회사가 부담하는 위험, 투자자의 투자 규모 등을 고려하여 합리적으로 책정되어야 한다.</w:t>
      </w:r>
    </w:p>
    <w:p w:rsidR="00831C83" w:rsidRDefault="00F379DF">
      <w:pPr>
        <w:pStyle w:val="a4"/>
        <w:numPr>
          <w:ilvl w:val="0"/>
          <w:numId w:val="2"/>
        </w:numPr>
        <w:spacing w:after="0" w:line="240" w:lineRule="auto"/>
        <w:ind w:leftChars="0" w:left="426" w:right="89"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t>수수료 수준은 계약의 특성, 제공하는 서비스 수준, 인정가능한 특별한 사정 등을 고려하여 개별 계약 기준으로 경영진이 결정한다.</w:t>
      </w:r>
    </w:p>
    <w:p w:rsidR="00831C83" w:rsidRDefault="00F379DF">
      <w:pPr>
        <w:pStyle w:val="a4"/>
        <w:numPr>
          <w:ilvl w:val="0"/>
          <w:numId w:val="2"/>
        </w:numPr>
        <w:spacing w:after="0" w:line="240" w:lineRule="auto"/>
        <w:ind w:leftChars="0" w:left="426" w:right="89"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t>수수료율을 결정하는 경우 관련 법규에서 정하는 제반사항을 고려해야 하며, 관련 법규에서 달리 정하는 사항이 없는 한 투자자와 합의하여 체결하는 투자일임계약서에 수수료 계산방법, 수수료 계산기간 및 수수료 지급시기 등을 상세히 기술한다.</w:t>
      </w:r>
    </w:p>
    <w:p w:rsidR="00831C83" w:rsidRDefault="00F379DF">
      <w:pPr>
        <w:pStyle w:val="a4"/>
        <w:numPr>
          <w:ilvl w:val="0"/>
          <w:numId w:val="2"/>
        </w:numPr>
        <w:spacing w:after="0" w:line="240" w:lineRule="auto"/>
        <w:ind w:leftChars="0" w:left="426" w:right="89"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투자일임계약 수수료는 회사가 투자자에게 지급을 청구하여 투자자가 지급하는 것을 원칙으로 하되, 수수료 계산방법 등 구체적인 내용은 투자자와 합의하는 계약서에 따른다.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63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제5조(수수료 체계)</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240"/>
        <w:jc w:val="both"/>
        <w:rPr>
          <w:rFonts w:asciiTheme="majorEastAsia" w:eastAsiaTheme="majorEastAsia" w:hAnsiTheme="majorEastAsia"/>
          <w:spacing w:val="20"/>
          <w:w w:val="90"/>
          <w:sz w:val="26"/>
          <w:szCs w:val="26"/>
        </w:rPr>
      </w:pPr>
      <w:r>
        <w:rPr>
          <w:rFonts w:asciiTheme="majorEastAsia" w:eastAsiaTheme="majorEastAsia" w:hAnsiTheme="majorEastAsia"/>
          <w:w w:val="90"/>
          <w:sz w:val="26"/>
          <w:szCs w:val="26"/>
        </w:rPr>
        <w:t xml:space="preserve">투자자는 회사와 투자일임 계약을 체결함에 있어서 다음 각 호의 수수료 지급 방식 중 하나를 택할 수 있으며, 구체적인 수수료율은 회사의 수수료 정책을 기본으로 투자자산의 규모 등을 고려하여 상호 협의하여 결정한다. </w:t>
      </w:r>
      <w:r>
        <w:rPr>
          <w:rFonts w:asciiTheme="majorEastAsia" w:eastAsiaTheme="majorEastAsia" w:hAnsiTheme="majorEastAsia"/>
          <w:spacing w:val="20"/>
          <w:w w:val="90"/>
          <w:sz w:val="26"/>
          <w:szCs w:val="26"/>
          <w:highlight w:val="yellow"/>
        </w:rPr>
        <w:t xml:space="preserve">사전에 별도로 정함이 </w:t>
      </w:r>
      <w:r>
        <w:rPr>
          <w:rFonts w:asciiTheme="majorEastAsia" w:eastAsiaTheme="majorEastAsia" w:hAnsiTheme="majorEastAsia"/>
          <w:spacing w:val="20"/>
          <w:w w:val="90"/>
          <w:sz w:val="26"/>
          <w:szCs w:val="26"/>
          <w:highlight w:val="yellow"/>
        </w:rPr>
        <w:lastRenderedPageBreak/>
        <w:t xml:space="preserve">없는 한 기본형을 원칙으로 하고 기본수수료는 </w:t>
      </w:r>
      <w:proofErr w:type="spellStart"/>
      <w:r>
        <w:rPr>
          <w:rFonts w:asciiTheme="majorEastAsia" w:eastAsiaTheme="majorEastAsia" w:hAnsiTheme="majorEastAsia"/>
          <w:spacing w:val="20"/>
          <w:w w:val="90"/>
          <w:sz w:val="26"/>
          <w:szCs w:val="26"/>
          <w:highlight w:val="yellow"/>
        </w:rPr>
        <w:t>투자일임계약</w:t>
      </w:r>
      <w:proofErr w:type="spellEnd"/>
      <w:r>
        <w:rPr>
          <w:rFonts w:asciiTheme="majorEastAsia" w:eastAsiaTheme="majorEastAsia" w:hAnsiTheme="majorEastAsia"/>
          <w:spacing w:val="20"/>
          <w:w w:val="90"/>
          <w:sz w:val="26"/>
          <w:szCs w:val="26"/>
          <w:highlight w:val="yellow"/>
        </w:rPr>
        <w:t xml:space="preserve"> 체결 시점의 </w:t>
      </w:r>
      <w:proofErr w:type="spellStart"/>
      <w:r>
        <w:rPr>
          <w:rFonts w:asciiTheme="majorEastAsia" w:eastAsiaTheme="majorEastAsia" w:hAnsiTheme="majorEastAsia"/>
          <w:spacing w:val="20"/>
          <w:w w:val="90"/>
          <w:sz w:val="26"/>
          <w:szCs w:val="26"/>
          <w:highlight w:val="yellow"/>
        </w:rPr>
        <w:t>투자일임자산액을</w:t>
      </w:r>
      <w:proofErr w:type="spellEnd"/>
      <w:r>
        <w:rPr>
          <w:rFonts w:asciiTheme="majorEastAsia" w:eastAsiaTheme="majorEastAsia" w:hAnsiTheme="majorEastAsia"/>
          <w:spacing w:val="20"/>
          <w:w w:val="90"/>
          <w:sz w:val="26"/>
          <w:szCs w:val="26"/>
          <w:highlight w:val="yellow"/>
        </w:rPr>
        <w:t xml:space="preserve"> 기준으로 </w:t>
      </w:r>
      <w:r w:rsidR="008275C7">
        <w:rPr>
          <w:rFonts w:asciiTheme="majorEastAsia" w:eastAsiaTheme="majorEastAsia" w:hAnsiTheme="majorEastAsia" w:hint="eastAsia"/>
          <w:spacing w:val="20"/>
          <w:w w:val="90"/>
          <w:sz w:val="26"/>
          <w:szCs w:val="26"/>
          <w:highlight w:val="yellow"/>
        </w:rPr>
        <w:t>증권일임의 경우</w:t>
      </w:r>
      <w:r>
        <w:rPr>
          <w:rFonts w:asciiTheme="majorEastAsia" w:eastAsiaTheme="majorEastAsia" w:hAnsiTheme="majorEastAsia"/>
          <w:spacing w:val="20"/>
          <w:w w:val="90"/>
          <w:sz w:val="26"/>
          <w:szCs w:val="26"/>
          <w:highlight w:val="yellow"/>
        </w:rPr>
        <w:t>1.3%(부가가치세 별도)로 한다.</w:t>
      </w:r>
    </w:p>
    <w:p w:rsidR="00831C83" w:rsidRDefault="00F379DF">
      <w:pPr>
        <w:spacing w:after="0" w:line="240" w:lineRule="auto"/>
        <w:ind w:right="2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1. 기본수수료만 지급 (이하 ‘기본형’이라 한다.)</w:t>
      </w:r>
    </w:p>
    <w:p w:rsidR="00831C83" w:rsidRDefault="00F379DF">
      <w:pPr>
        <w:spacing w:after="0" w:line="240" w:lineRule="auto"/>
        <w:ind w:right="4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2. 기본수수료와 성과수수료를 지급 (이하 ‘혼합형’이라 한다.)</w:t>
      </w:r>
    </w:p>
    <w:p w:rsidR="00831C83" w:rsidRDefault="00F379DF">
      <w:pPr>
        <w:spacing w:after="0" w:line="240" w:lineRule="auto"/>
        <w:ind w:right="212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3. 성과수수료만 지급 (이하 ‘성과형’ 이라 한다.)</w:t>
      </w:r>
    </w:p>
    <w:p w:rsidR="00831C83" w:rsidRDefault="00831C83">
      <w:pPr>
        <w:spacing w:after="0" w:line="240" w:lineRule="auto"/>
        <w:ind w:right="240"/>
        <w:jc w:val="both"/>
        <w:rPr>
          <w:rFonts w:asciiTheme="majorEastAsia" w:eastAsiaTheme="majorEastAsia" w:hAnsiTheme="majorEastAsia"/>
          <w:w w:val="90"/>
          <w:sz w:val="26"/>
          <w:szCs w:val="26"/>
        </w:rPr>
      </w:pPr>
    </w:p>
    <w:p w:rsidR="00831C83" w:rsidRDefault="00831C83">
      <w:pPr>
        <w:spacing w:after="0" w:line="240" w:lineRule="auto"/>
        <w:ind w:right="240"/>
        <w:jc w:val="both"/>
        <w:rPr>
          <w:rFonts w:asciiTheme="majorEastAsia" w:eastAsiaTheme="majorEastAsia" w:hAnsiTheme="majorEastAsia"/>
          <w:w w:val="90"/>
          <w:sz w:val="26"/>
          <w:szCs w:val="26"/>
        </w:rPr>
      </w:pPr>
    </w:p>
    <w:p w:rsidR="00831C83" w:rsidRDefault="00F379DF">
      <w:pPr>
        <w:spacing w:after="0" w:line="240" w:lineRule="auto"/>
        <w:ind w:right="212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제6조(성과수수료의 수령 기준)</w:t>
      </w:r>
    </w:p>
    <w:p w:rsidR="00831C83" w:rsidRDefault="00831C83">
      <w:pPr>
        <w:spacing w:after="0" w:line="240" w:lineRule="auto"/>
        <w:ind w:right="240"/>
        <w:jc w:val="both"/>
        <w:rPr>
          <w:rFonts w:asciiTheme="majorEastAsia" w:eastAsiaTheme="majorEastAsia" w:hAnsiTheme="majorEastAsia"/>
          <w:w w:val="90"/>
          <w:sz w:val="26"/>
          <w:szCs w:val="26"/>
        </w:rPr>
      </w:pPr>
    </w:p>
    <w:p w:rsidR="00831C83" w:rsidRDefault="00F379DF">
      <w:pPr>
        <w:spacing w:after="0" w:line="240" w:lineRule="auto"/>
        <w:ind w:right="2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회사는 투자자 보호와 건전한 거래질서를 해할 우려가 없는 경우로서 다음 각 호에 해당하는 경우에는 성과수수료를 받을 수 있다.</w:t>
      </w:r>
    </w:p>
    <w:p w:rsidR="00831C83" w:rsidRDefault="00F379DF">
      <w:pPr>
        <w:spacing w:after="0" w:line="240" w:lineRule="auto"/>
        <w:ind w:right="47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1. 투자자가 전문투자자인 경우</w:t>
      </w:r>
    </w:p>
    <w:p w:rsidR="00831C83" w:rsidRDefault="00F379DF">
      <w:pPr>
        <w:spacing w:after="0" w:line="240" w:lineRule="auto"/>
        <w:ind w:right="2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2. 투자자가 일반투자자인 경우로서 다음 각 목의 요건을 모두 충족하는 경우</w:t>
      </w:r>
    </w:p>
    <w:p w:rsidR="00831C83" w:rsidRDefault="00F379DF">
      <w:pPr>
        <w:pStyle w:val="a4"/>
        <w:numPr>
          <w:ilvl w:val="1"/>
          <w:numId w:val="1"/>
        </w:numPr>
        <w:spacing w:after="0" w:line="240" w:lineRule="auto"/>
        <w:ind w:leftChars="0" w:left="709" w:right="260" w:hanging="425"/>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성과수수료가 금융위원회가 정하여 고시하는 요건을 갖춘 기준지표 등에 연동하여 산정될 것</w:t>
      </w:r>
    </w:p>
    <w:p w:rsidR="00831C83" w:rsidRDefault="00F379DF">
      <w:pPr>
        <w:pStyle w:val="a4"/>
        <w:numPr>
          <w:ilvl w:val="1"/>
          <w:numId w:val="1"/>
        </w:numPr>
        <w:spacing w:after="0" w:line="240" w:lineRule="auto"/>
        <w:ind w:leftChars="0" w:left="709" w:right="260" w:hanging="425"/>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운용성과가 기준지표 등의 성과보다 낮은 경우에는 성과수수료를 적용하지 아니하는 경우보다 적은 운용보수를 받게되는 보수체계를 갖출 것</w:t>
      </w:r>
    </w:p>
    <w:p w:rsidR="00831C83" w:rsidRDefault="00F379DF">
      <w:pPr>
        <w:pStyle w:val="a4"/>
        <w:numPr>
          <w:ilvl w:val="1"/>
          <w:numId w:val="1"/>
        </w:numPr>
        <w:spacing w:after="0" w:line="240" w:lineRule="auto"/>
        <w:ind w:leftChars="0" w:left="709" w:right="260" w:hanging="425"/>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운용성과가 기준지표 등의 성과를 초과하더라도 그 운용성과가 부(</w:t>
      </w:r>
      <w:r>
        <w:rPr>
          <w:rFonts w:asciiTheme="majorEastAsia" w:eastAsiaTheme="majorEastAsia" w:hAnsiTheme="majorEastAsia" w:cs="바탕"/>
          <w:w w:val="90"/>
          <w:sz w:val="26"/>
          <w:szCs w:val="26"/>
        </w:rPr>
        <w:t>負</w:t>
      </w:r>
      <w:r>
        <w:rPr>
          <w:rFonts w:asciiTheme="majorEastAsia" w:eastAsiaTheme="majorEastAsia" w:hAnsiTheme="majorEastAsia"/>
          <w:w w:val="90"/>
          <w:sz w:val="26"/>
          <w:szCs w:val="26"/>
        </w:rPr>
        <w:t>)의 수익률을 나타내거나 또는 금융위원회가 정하여 고시하는 기준에 미달하는 경우에는 성과수수료를 받지 아니하도록 할 것</w:t>
      </w:r>
    </w:p>
    <w:p w:rsidR="00831C83" w:rsidRDefault="00F379DF">
      <w:pPr>
        <w:pStyle w:val="a4"/>
        <w:numPr>
          <w:ilvl w:val="1"/>
          <w:numId w:val="1"/>
        </w:numPr>
        <w:spacing w:after="0" w:line="240" w:lineRule="auto"/>
        <w:ind w:leftChars="0" w:left="709" w:right="260" w:hanging="425"/>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그 밖에 성과수수료의 산정방식, 지급시기 등에 관하여 금융위원회가 정하여 고시하는 요건을 충족할 것</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27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제7조 (일임계약의 증액 및 감액, 중도해지 등)</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pStyle w:val="a4"/>
        <w:numPr>
          <w:ilvl w:val="0"/>
          <w:numId w:val="3"/>
        </w:numPr>
        <w:spacing w:after="0" w:line="240" w:lineRule="auto"/>
        <w:ind w:leftChars="0" w:left="426" w:right="89" w:hanging="426"/>
        <w:jc w:val="both"/>
        <w:rPr>
          <w:rFonts w:asciiTheme="majorEastAsia" w:eastAsiaTheme="majorEastAsia" w:hAnsiTheme="majorEastAsia"/>
          <w:sz w:val="26"/>
          <w:szCs w:val="26"/>
        </w:rPr>
      </w:pPr>
      <w:r>
        <w:rPr>
          <w:rFonts w:asciiTheme="majorEastAsia" w:eastAsiaTheme="majorEastAsia" w:hAnsiTheme="majorEastAsia"/>
          <w:w w:val="90"/>
          <w:sz w:val="26"/>
          <w:szCs w:val="26"/>
        </w:rPr>
        <w:t>투자일임계약 금액이 증액되는 경우에는 증액금액에 계약잔여일수를 계산하여 수수료를 부과한다.</w:t>
      </w:r>
    </w:p>
    <w:p w:rsidR="00831C83" w:rsidRDefault="00F379DF">
      <w:pPr>
        <w:pStyle w:val="a4"/>
        <w:numPr>
          <w:ilvl w:val="0"/>
          <w:numId w:val="3"/>
        </w:numPr>
        <w:spacing w:after="0" w:line="240" w:lineRule="auto"/>
        <w:ind w:leftChars="0" w:left="426" w:right="89"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lastRenderedPageBreak/>
        <w:t>계약이 계약만료일 이전에 해지되는 경우에는 계약금액 또는 순자산총액에 운용경과일수를 계산하여 수수료를 부과하며 계약해지일로부터 7영업일 이내에 기본수수료의 환급 및 해지수수료의 납입이 이루어져야 한다.</w:t>
      </w:r>
    </w:p>
    <w:p w:rsidR="00831C83" w:rsidRDefault="00F379DF">
      <w:pPr>
        <w:pStyle w:val="a4"/>
        <w:numPr>
          <w:ilvl w:val="0"/>
          <w:numId w:val="3"/>
        </w:numPr>
        <w:spacing w:after="0" w:line="240" w:lineRule="auto"/>
        <w:ind w:leftChars="0" w:left="426" w:right="89"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계약의 중도해지시 해당계약과 관련한 대가를 미리 지급받은 때에는 미경과운용일수에 해당하는 수수료를 투자자에게 반환한다.</w:t>
      </w:r>
    </w:p>
    <w:p w:rsidR="00831C83" w:rsidRDefault="00F379DF">
      <w:pPr>
        <w:pStyle w:val="a4"/>
        <w:numPr>
          <w:ilvl w:val="0"/>
          <w:numId w:val="3"/>
        </w:numPr>
        <w:spacing w:after="0" w:line="240" w:lineRule="auto"/>
        <w:ind w:leftChars="0" w:left="426" w:right="89"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계약금액이 감액되는 경우에는 감액금액에 운용경과일수를 계산하여 수수료를 부과하며, 수수료를 미리 지급받은 때에는 감액금액에 계약잔여 일수를 계산하여 수수료를 반환한다.</w:t>
      </w:r>
    </w:p>
    <w:p w:rsidR="00831C83" w:rsidRDefault="00F379DF">
      <w:pPr>
        <w:pStyle w:val="a4"/>
        <w:numPr>
          <w:ilvl w:val="0"/>
          <w:numId w:val="3"/>
        </w:numPr>
        <w:spacing w:after="0" w:line="240" w:lineRule="auto"/>
        <w:ind w:leftChars="0" w:left="426" w:right="89" w:hanging="426"/>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계약의 감액 또는 중도해지시 회사는 관계법령이 정하는 범위내에서 손해배상금 또는 위약금을 청구할 수 있다.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662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제8조 (설명의무)</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2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회사는 금융소비자보호법 제19조 1항에 따라, 일반투자자를 상대로 투자권유를 하는 경우에는 이 기준에서 정하는 수수료에 관한 사항을 일반투자자가 이해할 수 있도록 설명하여야 한다.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60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제9조 (공시 및 통보)</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2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회사는 법 제 58조 1항에 따라 이 기준을 회사의 인터넷 홈페이지 등을 이용하여 공시하여야 하며, 법 제 58조 3항에 의거 이 기준을 금융투자협회에 통보하여야 한다.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63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제10조 (투자 광고)</w:t>
      </w:r>
    </w:p>
    <w:p w:rsidR="00831C83" w:rsidRDefault="00831C83">
      <w:pPr>
        <w:spacing w:after="0" w:line="240" w:lineRule="auto"/>
        <w:ind w:right="260"/>
        <w:jc w:val="both"/>
        <w:rPr>
          <w:rFonts w:asciiTheme="majorEastAsia" w:eastAsiaTheme="majorEastAsia" w:hAnsiTheme="majorEastAsia"/>
          <w:w w:val="90"/>
          <w:sz w:val="26"/>
          <w:szCs w:val="26"/>
        </w:rPr>
      </w:pPr>
    </w:p>
    <w:p w:rsidR="00831C83" w:rsidRDefault="00F379DF">
      <w:pPr>
        <w:spacing w:after="0" w:line="240" w:lineRule="auto"/>
        <w:ind w:right="26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투자광고를 하는 경우에는 금융소비자보호법 제22조 제3항에 의거 이 기준에서 정하는 수수료에 관한 사항이 포함되도록 하여야 한다.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494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제11조 (기준의 제정 및 개정)</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spacing w:after="0" w:line="240" w:lineRule="auto"/>
        <w:ind w:right="700"/>
        <w:jc w:val="both"/>
        <w:rPr>
          <w:rFonts w:asciiTheme="majorEastAsia" w:eastAsiaTheme="majorEastAsia" w:hAnsiTheme="majorEastAsia"/>
          <w:w w:val="90"/>
          <w:sz w:val="26"/>
          <w:szCs w:val="26"/>
        </w:rPr>
      </w:pPr>
      <w:r>
        <w:rPr>
          <w:rFonts w:asciiTheme="majorEastAsia" w:eastAsiaTheme="majorEastAsia" w:hAnsiTheme="majorEastAsia"/>
          <w:w w:val="90"/>
          <w:sz w:val="26"/>
          <w:szCs w:val="26"/>
        </w:rPr>
        <w:t>이 기준은 이사회의 결정으로 제정 및 개정한다. 다만, 이사의 수가 2인 이하로 이사회가 구성되지 아니하는 때에는 감사의 사전검토 및 협조 절차를 거쳐 대표이사가 개정할 수 있다.</w:t>
      </w:r>
    </w:p>
    <w:p w:rsidR="00831C83" w:rsidRDefault="00831C83">
      <w:pPr>
        <w:spacing w:after="0" w:line="240" w:lineRule="auto"/>
        <w:jc w:val="both"/>
        <w:rPr>
          <w:rFonts w:asciiTheme="majorEastAsia" w:eastAsiaTheme="majorEastAsia" w:hAnsiTheme="majorEastAsia"/>
          <w:sz w:val="26"/>
          <w:szCs w:val="26"/>
        </w:rPr>
      </w:pPr>
    </w:p>
    <w:p w:rsidR="00831C83" w:rsidRDefault="00F379DF">
      <w:pPr>
        <w:pStyle w:val="1"/>
        <w:spacing w:after="0" w:line="240" w:lineRule="auto"/>
        <w:jc w:val="center"/>
        <w:rPr>
          <w:rFonts w:asciiTheme="majorEastAsia" w:hAnsiTheme="majorEastAsia"/>
          <w:w w:val="90"/>
          <w:sz w:val="30"/>
          <w:szCs w:val="30"/>
        </w:rPr>
      </w:pPr>
      <w:r>
        <w:rPr>
          <w:rFonts w:asciiTheme="majorEastAsia" w:hAnsiTheme="majorEastAsia"/>
          <w:w w:val="90"/>
          <w:sz w:val="30"/>
          <w:szCs w:val="30"/>
        </w:rPr>
        <w:t>부   칙</w:t>
      </w:r>
    </w:p>
    <w:p w:rsidR="00831C83" w:rsidRDefault="00831C83">
      <w:pPr>
        <w:pStyle w:val="1"/>
        <w:spacing w:after="0" w:line="240" w:lineRule="auto"/>
        <w:jc w:val="both"/>
        <w:rPr>
          <w:rFonts w:asciiTheme="majorEastAsia" w:hAnsiTheme="majorEastAsia"/>
          <w:w w:val="90"/>
          <w:sz w:val="26"/>
          <w:szCs w:val="26"/>
        </w:rPr>
      </w:pPr>
    </w:p>
    <w:p w:rsidR="00831C83" w:rsidRDefault="00F379DF">
      <w:pPr>
        <w:pStyle w:val="1"/>
        <w:spacing w:after="0" w:line="240" w:lineRule="auto"/>
        <w:jc w:val="both"/>
        <w:rPr>
          <w:rFonts w:asciiTheme="majorEastAsia" w:hAnsiTheme="majorEastAsia"/>
          <w:w w:val="90"/>
          <w:sz w:val="26"/>
          <w:szCs w:val="26"/>
        </w:rPr>
      </w:pPr>
      <w:r>
        <w:rPr>
          <w:rFonts w:asciiTheme="majorEastAsia" w:hAnsiTheme="majorEastAsia"/>
          <w:w w:val="90"/>
          <w:sz w:val="26"/>
          <w:szCs w:val="26"/>
        </w:rPr>
        <w:t>제1조 (시행일) 이 기준은 투자일임업 등록일부터 시행한다.</w:t>
      </w:r>
    </w:p>
    <w:sectPr w:rsidR="00831C83">
      <w:pgSz w:w="11900" w:h="16820"/>
      <w:pgMar w:top="1985"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CC5" w:rsidRDefault="00F379DF">
      <w:pPr>
        <w:spacing w:after="0" w:line="240" w:lineRule="auto"/>
      </w:pPr>
      <w:r>
        <w:separator/>
      </w:r>
    </w:p>
  </w:endnote>
  <w:endnote w:type="continuationSeparator" w:id="0">
    <w:p w:rsidR="00F44CC5" w:rsidRDefault="00F3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rsidR="00831C83" w:rsidRDefault="00F379DF">
        <w:pPr>
          <w:pStyle w:val="a7"/>
          <w:jc w:val="center"/>
        </w:pPr>
        <w:r>
          <w:fldChar w:fldCharType="begin"/>
        </w:r>
        <w:r>
          <w:instrText>PAGE   \* MERGEFORMAT</w:instrText>
        </w:r>
        <w:r>
          <w:fldChar w:fldCharType="separate"/>
        </w:r>
        <w:r>
          <w:rPr>
            <w:lang w:val="ko-K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CC5" w:rsidRDefault="00F379DF">
      <w:pPr>
        <w:spacing w:after="0" w:line="240" w:lineRule="auto"/>
      </w:pPr>
      <w:r>
        <w:separator/>
      </w:r>
    </w:p>
  </w:footnote>
  <w:footnote w:type="continuationSeparator" w:id="0">
    <w:p w:rsidR="00F44CC5" w:rsidRDefault="00F37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1BB2"/>
    <w:multiLevelType w:val="hybridMultilevel"/>
    <w:tmpl w:val="2BDAC632"/>
    <w:lvl w:ilvl="0" w:tplc="FFFFFFFF">
      <w:start w:val="1"/>
      <w:numFmt w:val="decimalEnclosedCircle"/>
      <w:lvlText w:val="%1"/>
      <w:lvlJc w:val="left"/>
      <w:pPr>
        <w:ind w:left="760" w:hanging="360"/>
      </w:pPr>
      <w:rPr>
        <w:rFonts w:hint="default"/>
        <w:sz w:val="28"/>
        <w:szCs w:val="28"/>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1" w15:restartNumberingAfterBreak="0">
    <w:nsid w:val="41132E8E"/>
    <w:multiLevelType w:val="hybridMultilevel"/>
    <w:tmpl w:val="AA2A8200"/>
    <w:lvl w:ilvl="0" w:tplc="16146F02">
      <w:start w:val="1"/>
      <w:numFmt w:val="decimalEnclosedCircle"/>
      <w:lvlText w:val="%1"/>
      <w:lvlJc w:val="left"/>
      <w:pPr>
        <w:ind w:left="760" w:hanging="360"/>
      </w:pPr>
      <w:rPr>
        <w:rFonts w:hint="default"/>
        <w:sz w:val="28"/>
        <w:szCs w:val="28"/>
      </w:rPr>
    </w:lvl>
    <w:lvl w:ilvl="1" w:tplc="AC585364">
      <w:start w:val="1"/>
      <w:numFmt w:val="ganada"/>
      <w:lvlText w:val="%2."/>
      <w:lvlJc w:val="left"/>
      <w:pPr>
        <w:ind w:left="1235" w:hanging="435"/>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35927AF"/>
    <w:multiLevelType w:val="hybridMultilevel"/>
    <w:tmpl w:val="223000A8"/>
    <w:lvl w:ilvl="0" w:tplc="16146F02">
      <w:start w:val="1"/>
      <w:numFmt w:val="decimalEnclosedCircle"/>
      <w:lvlText w:val="%1"/>
      <w:lvlJc w:val="left"/>
      <w:pPr>
        <w:ind w:left="890" w:hanging="400"/>
      </w:pPr>
      <w:rPr>
        <w:rFonts w:hint="default"/>
        <w:sz w:val="28"/>
        <w:szCs w:val="28"/>
      </w:rPr>
    </w:lvl>
    <w:lvl w:ilvl="1" w:tplc="04090019" w:tentative="1">
      <w:start w:val="1"/>
      <w:numFmt w:val="upperLetter"/>
      <w:lvlText w:val="%2."/>
      <w:lvlJc w:val="left"/>
      <w:pPr>
        <w:ind w:left="1290" w:hanging="400"/>
      </w:pPr>
    </w:lvl>
    <w:lvl w:ilvl="2" w:tplc="0409001B" w:tentative="1">
      <w:start w:val="1"/>
      <w:numFmt w:val="lowerRoman"/>
      <w:lvlText w:val="%3."/>
      <w:lvlJc w:val="right"/>
      <w:pPr>
        <w:ind w:left="1690" w:hanging="400"/>
      </w:pPr>
    </w:lvl>
    <w:lvl w:ilvl="3" w:tplc="0409000F" w:tentative="1">
      <w:start w:val="1"/>
      <w:numFmt w:val="decimal"/>
      <w:lvlText w:val="%4."/>
      <w:lvlJc w:val="left"/>
      <w:pPr>
        <w:ind w:left="2090" w:hanging="400"/>
      </w:pPr>
    </w:lvl>
    <w:lvl w:ilvl="4" w:tplc="04090019" w:tentative="1">
      <w:start w:val="1"/>
      <w:numFmt w:val="upperLetter"/>
      <w:lvlText w:val="%5."/>
      <w:lvlJc w:val="left"/>
      <w:pPr>
        <w:ind w:left="2490" w:hanging="400"/>
      </w:pPr>
    </w:lvl>
    <w:lvl w:ilvl="5" w:tplc="0409001B" w:tentative="1">
      <w:start w:val="1"/>
      <w:numFmt w:val="lowerRoman"/>
      <w:lvlText w:val="%6."/>
      <w:lvlJc w:val="right"/>
      <w:pPr>
        <w:ind w:left="2890" w:hanging="400"/>
      </w:pPr>
    </w:lvl>
    <w:lvl w:ilvl="6" w:tplc="0409000F" w:tentative="1">
      <w:start w:val="1"/>
      <w:numFmt w:val="decimal"/>
      <w:lvlText w:val="%7."/>
      <w:lvlJc w:val="left"/>
      <w:pPr>
        <w:ind w:left="3290" w:hanging="400"/>
      </w:pPr>
    </w:lvl>
    <w:lvl w:ilvl="7" w:tplc="04090019" w:tentative="1">
      <w:start w:val="1"/>
      <w:numFmt w:val="upperLetter"/>
      <w:lvlText w:val="%8."/>
      <w:lvlJc w:val="left"/>
      <w:pPr>
        <w:ind w:left="3690" w:hanging="400"/>
      </w:pPr>
    </w:lvl>
    <w:lvl w:ilvl="8" w:tplc="0409001B" w:tentative="1">
      <w:start w:val="1"/>
      <w:numFmt w:val="lowerRoman"/>
      <w:lvlText w:val="%9."/>
      <w:lvlJc w:val="right"/>
      <w:pPr>
        <w:ind w:left="409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83"/>
    <w:rsid w:val="008275C7"/>
    <w:rsid w:val="00831C83"/>
    <w:rsid w:val="00F379DF"/>
    <w:rsid w:val="00F44CC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표 구분선1"/>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uiPriority w:val="1"/>
    <w:qFormat/>
    <w:pPr>
      <w:spacing w:after="0" w:line="240" w:lineRule="auto"/>
    </w:pPr>
  </w:style>
  <w:style w:type="character" w:customStyle="1" w:styleId="1Char">
    <w:name w:val="제목 1 Char"/>
    <w:basedOn w:val="a0"/>
    <w:link w:val="1"/>
    <w:uiPriority w:val="9"/>
    <w:rPr>
      <w:rFonts w:asciiTheme="majorHAnsi" w:eastAsiaTheme="majorEastAsia" w:hAnsiTheme="majorHAnsi" w:cstheme="majorBidi"/>
      <w:sz w:val="28"/>
      <w:szCs w:val="28"/>
    </w:rPr>
  </w:style>
  <w:style w:type="paragraph" w:styleId="a4">
    <w:name w:val="List Paragraph"/>
    <w:basedOn w:val="a"/>
    <w:uiPriority w:val="34"/>
    <w:qFormat/>
    <w:pPr>
      <w:ind w:leftChars="400" w:left="800"/>
    </w:pPr>
  </w:style>
  <w:style w:type="paragraph" w:styleId="a5">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Pr>
      <w:rFonts w:asciiTheme="majorHAnsi" w:eastAsiaTheme="majorEastAsia" w:hAnsiTheme="majorHAnsi" w:cstheme="majorBidi"/>
      <w:sz w:val="18"/>
      <w:szCs w:val="18"/>
    </w:rPr>
  </w:style>
  <w:style w:type="paragraph" w:styleId="a6">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6"/>
    <w:uiPriority w:val="99"/>
  </w:style>
  <w:style w:type="paragraph" w:styleId="a7">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2617</Characters>
  <Application>Microsoft Office Word</Application>
  <DocSecurity>0</DocSecurity>
  <Lines>21</Lines>
  <Paragraphs>6</Paragraphs>
  <ScaleCrop>false</ScaleCrop>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2021-12-02T08:53:00Z</cp:lastPrinted>
  <dcterms:created xsi:type="dcterms:W3CDTF">2022-03-02T01:49:00Z</dcterms:created>
  <dcterms:modified xsi:type="dcterms:W3CDTF">2022-05-18T01:20:00Z</dcterms:modified>
  <cp:version>1100.0100.01</cp:version>
</cp:coreProperties>
</file>