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6"/>
        <w:ind w:left="810"/>
        <w:autoSpaceDE w:val="off"/>
        <w:autoSpaceDN w:val="off"/>
        <w:widowControl w:val="off"/>
        <w:wordWrap w:val="off"/>
        <w:jc w:val="center"/>
        <w:spacing w:after="0" w:afterAutospacing="0" w:before="0" w:beforeAutospacing="0" w:line="360" w:lineRule="auto"/>
        <w:rPr>
          <w:rFonts w:ascii="Garamond" w:eastAsia="바탕" w:hAnsi="Garamond"/>
          <w:b/>
          <w:bCs/>
          <w:color w:val="000000"/>
          <w:sz w:val="32"/>
          <w:szCs w:val="32"/>
        </w:rPr>
      </w:pPr>
    </w:p>
    <w:p>
      <w:pPr>
        <w:pStyle w:val="a6"/>
        <w:ind w:left="810"/>
        <w:autoSpaceDE w:val="off"/>
        <w:autoSpaceDN w:val="off"/>
        <w:widowControl w:val="off"/>
        <w:wordWrap w:val="off"/>
        <w:jc w:val="center"/>
        <w:spacing w:after="0" w:afterAutospacing="0" w:before="0" w:beforeAutospacing="0" w:line="360" w:lineRule="auto"/>
        <w:rPr>
          <w:rFonts w:ascii="Garamond" w:eastAsia="바탕" w:hAnsi="Garamond"/>
          <w:b/>
          <w:bCs/>
          <w:color w:val="000000"/>
          <w:sz w:val="32"/>
          <w:szCs w:val="32"/>
        </w:rPr>
      </w:pPr>
    </w:p>
    <w:p>
      <w:pPr>
        <w:pStyle w:val="a6"/>
        <w:ind w:left="810"/>
        <w:autoSpaceDE w:val="off"/>
        <w:autoSpaceDN w:val="off"/>
        <w:widowControl w:val="off"/>
        <w:wordWrap w:val="off"/>
        <w:jc w:val="center"/>
        <w:spacing w:after="0" w:afterAutospacing="0" w:before="0" w:beforeAutospacing="0" w:line="360" w:lineRule="auto"/>
        <w:rPr>
          <w:rFonts w:ascii="Garamond" w:eastAsia="바탕" w:hAnsi="Garamond"/>
          <w:b/>
          <w:bCs/>
          <w:color w:val="000000"/>
          <w:sz w:val="32"/>
          <w:szCs w:val="32"/>
        </w:rPr>
      </w:pPr>
    </w:p>
    <w:p>
      <w:pPr>
        <w:pStyle w:val="a6"/>
        <w:ind w:left="810"/>
        <w:autoSpaceDE w:val="off"/>
        <w:autoSpaceDN w:val="off"/>
        <w:widowControl w:val="off"/>
        <w:wordWrap w:val="off"/>
        <w:jc w:val="center"/>
        <w:spacing w:after="0" w:afterAutospacing="0" w:before="0" w:beforeAutospacing="0" w:line="360" w:lineRule="auto"/>
        <w:rPr>
          <w:rFonts w:ascii="Garamond" w:eastAsia="바탕" w:hAnsi="Garamond"/>
          <w:b/>
          <w:bCs/>
          <w:color w:val="000000"/>
          <w:sz w:val="32"/>
          <w:szCs w:val="32"/>
        </w:rPr>
      </w:pPr>
    </w:p>
    <w:p>
      <w:pPr>
        <w:pStyle w:val="a6"/>
        <w:ind w:left="810"/>
        <w:autoSpaceDE w:val="off"/>
        <w:autoSpaceDN w:val="off"/>
        <w:widowControl w:val="off"/>
        <w:wordWrap w:val="off"/>
        <w:jc w:val="center"/>
        <w:spacing w:after="0" w:afterAutospacing="0" w:before="0" w:beforeAutospacing="0" w:line="360" w:lineRule="auto"/>
        <w:rPr>
          <w:rFonts w:ascii="Garamond" w:eastAsia="바탕" w:hAnsi="Garamond"/>
          <w:b/>
          <w:bCs/>
          <w:color w:val="000000"/>
          <w:sz w:val="32"/>
          <w:szCs w:val="32"/>
        </w:rPr>
      </w:pPr>
    </w:p>
    <w:p>
      <w:pPr>
        <w:pStyle w:val="a6"/>
        <w:ind w:left="810"/>
        <w:autoSpaceDE w:val="off"/>
        <w:autoSpaceDN w:val="off"/>
        <w:widowControl w:val="off"/>
        <w:wordWrap w:val="off"/>
        <w:jc w:val="center"/>
        <w:spacing w:after="0" w:afterAutospacing="0" w:before="0" w:beforeAutospacing="0" w:line="360" w:lineRule="auto"/>
        <w:rPr>
          <w:rFonts w:ascii="Garamond" w:eastAsia="바탕" w:hAnsi="Garamond"/>
          <w:bCs/>
          <w:color w:val="000000"/>
          <w:sz w:val="56"/>
          <w:szCs w:val="56"/>
        </w:rPr>
      </w:pPr>
      <w:r>
        <w:rPr>
          <w:rFonts w:ascii="Garamond" w:eastAsia="바탕" w:hAnsi="Garamond" w:hint="eastAsia"/>
          <w:bCs/>
          <w:color w:val="000000"/>
          <w:sz w:val="56"/>
          <w:szCs w:val="56"/>
        </w:rPr>
        <w:t>금융소비자보호기준</w:t>
      </w:r>
    </w:p>
    <w:p>
      <w:pPr>
        <w:pStyle w:val="a6"/>
        <w:ind w:left="810"/>
        <w:autoSpaceDE w:val="off"/>
        <w:autoSpaceDN w:val="off"/>
        <w:widowControl w:val="off"/>
        <w:wordWrap w:val="off"/>
        <w:jc w:val="center"/>
        <w:spacing w:after="0" w:afterAutospacing="0" w:before="0" w:beforeAutospacing="0" w:line="360" w:lineRule="auto"/>
        <w:rPr>
          <w:rFonts w:ascii="Garamond" w:eastAsia="바탕" w:hAnsi="Garamond"/>
          <w:b/>
          <w:bCs/>
          <w:color w:val="000000"/>
          <w:sz w:val="56"/>
          <w:szCs w:val="56"/>
        </w:rPr>
      </w:pPr>
    </w:p>
    <w:p>
      <w:pPr>
        <w:pStyle w:val="a6"/>
        <w:ind w:left="810"/>
        <w:autoSpaceDE w:val="off"/>
        <w:autoSpaceDN w:val="off"/>
        <w:widowControl w:val="off"/>
        <w:wordWrap w:val="off"/>
        <w:jc w:val="center"/>
        <w:spacing w:after="0" w:afterAutospacing="0" w:before="0" w:beforeAutospacing="0" w:line="360" w:lineRule="auto"/>
        <w:rPr>
          <w:rFonts w:ascii="Garamond" w:eastAsia="바탕" w:hAnsi="Garamond"/>
          <w:b/>
          <w:bCs/>
          <w:color w:val="000000"/>
          <w:sz w:val="56"/>
          <w:szCs w:val="56"/>
        </w:rPr>
      </w:pPr>
    </w:p>
    <w:p>
      <w:pPr>
        <w:pStyle w:val="a6"/>
        <w:ind w:left="810"/>
        <w:autoSpaceDE w:val="off"/>
        <w:autoSpaceDN w:val="off"/>
        <w:widowControl w:val="off"/>
        <w:wordWrap w:val="off"/>
        <w:jc w:val="center"/>
        <w:spacing w:after="0" w:afterAutospacing="0" w:before="0" w:beforeAutospacing="0" w:line="360" w:lineRule="auto"/>
        <w:rPr>
          <w:rFonts w:ascii="Garamond" w:eastAsia="바탕" w:hAnsi="Garamond"/>
          <w:b/>
          <w:bCs/>
          <w:color w:val="000000"/>
          <w:sz w:val="56"/>
          <w:szCs w:val="56"/>
        </w:rPr>
      </w:pPr>
    </w:p>
    <w:p>
      <w:pPr>
        <w:pStyle w:val="a6"/>
        <w:ind w:left="810"/>
        <w:autoSpaceDE w:val="off"/>
        <w:autoSpaceDN w:val="off"/>
        <w:widowControl w:val="off"/>
        <w:wordWrap w:val="off"/>
        <w:jc w:val="center"/>
        <w:spacing w:after="0" w:afterAutospacing="0" w:before="0" w:beforeAutospacing="0" w:line="360" w:lineRule="auto"/>
        <w:rPr>
          <w:rFonts w:ascii="Garamond" w:eastAsia="바탕" w:hAnsi="Garamond"/>
          <w:b/>
          <w:bCs/>
          <w:color w:val="000000"/>
          <w:sz w:val="56"/>
          <w:szCs w:val="56"/>
        </w:rPr>
      </w:pPr>
    </w:p>
    <w:p>
      <w:pPr>
        <w:pStyle w:val="a6"/>
        <w:ind w:left="810"/>
        <w:autoSpaceDE w:val="off"/>
        <w:autoSpaceDN w:val="off"/>
        <w:widowControl w:val="off"/>
        <w:wordWrap w:val="off"/>
        <w:jc w:val="center"/>
        <w:spacing w:after="0" w:afterAutospacing="0" w:before="0" w:beforeAutospacing="0" w:line="360" w:lineRule="auto"/>
        <w:rPr>
          <w:rFonts w:ascii="Garamond" w:eastAsia="바탕" w:hAnsi="Garamond"/>
          <w:b/>
          <w:bCs/>
          <w:color w:val="000000"/>
          <w:sz w:val="56"/>
          <w:szCs w:val="56"/>
        </w:rPr>
      </w:pPr>
    </w:p>
    <w:p>
      <w:pPr>
        <w:pStyle w:val="a6"/>
        <w:ind w:left="810"/>
        <w:autoSpaceDE w:val="off"/>
        <w:autoSpaceDN w:val="off"/>
        <w:widowControl w:val="off"/>
        <w:wordWrap w:val="off"/>
        <w:jc w:val="center"/>
        <w:spacing w:after="0" w:afterAutospacing="0" w:before="0" w:beforeAutospacing="0" w:line="360" w:lineRule="auto"/>
        <w:rPr>
          <w:rFonts w:ascii="Garamond" w:eastAsia="바탕" w:hAnsi="Garamond"/>
          <w:b/>
          <w:bCs/>
          <w:color w:val="000000"/>
          <w:sz w:val="56"/>
          <w:szCs w:val="56"/>
        </w:rPr>
      </w:pPr>
    </w:p>
    <w:p>
      <w:pPr>
        <w:pStyle w:val="a6"/>
        <w:ind w:left="810"/>
        <w:autoSpaceDE w:val="off"/>
        <w:autoSpaceDN w:val="off"/>
        <w:widowControl w:val="off"/>
        <w:wordWrap w:val="off"/>
        <w:jc w:val="center"/>
        <w:spacing w:after="0" w:afterAutospacing="0" w:before="0" w:beforeAutospacing="0" w:line="360" w:lineRule="auto"/>
        <w:rPr>
          <w:rFonts w:ascii="Garamond" w:eastAsia="바탕" w:hAnsi="Garamond"/>
          <w:b/>
          <w:bCs/>
          <w:sz w:val="56"/>
          <w:szCs w:val="56"/>
        </w:rPr>
      </w:pPr>
    </w:p>
    <w:p>
      <w:pPr>
        <w:pStyle w:val="a6"/>
        <w:ind w:left="810"/>
        <w:autoSpaceDE w:val="off"/>
        <w:autoSpaceDN w:val="off"/>
        <w:widowControl w:val="off"/>
        <w:wordWrap w:val="off"/>
        <w:jc w:val="center"/>
        <w:spacing w:after="0" w:afterAutospacing="0" w:before="0" w:beforeAutospacing="0" w:line="360" w:lineRule="auto"/>
        <w:rPr>
          <w:rFonts w:ascii="Garamond" w:eastAsia="바탕" w:hAnsi="Garamond"/>
          <w:b/>
          <w:bCs/>
          <w:sz w:val="56"/>
          <w:szCs w:val="56"/>
        </w:rPr>
      </w:pPr>
    </w:p>
    <w:p>
      <w:pPr>
        <w:pStyle w:val="a6"/>
        <w:ind w:left="810"/>
        <w:autoSpaceDE w:val="off"/>
        <w:autoSpaceDN w:val="off"/>
        <w:widowControl w:val="off"/>
        <w:wordWrap w:val="off"/>
        <w:jc w:val="center"/>
        <w:spacing w:after="0" w:afterAutospacing="0" w:before="0" w:beforeAutospacing="0" w:line="360" w:lineRule="auto"/>
        <w:rPr>
          <w:rFonts w:ascii="Garamond" w:eastAsia="바탕" w:hAnsi="Garamond"/>
          <w:bCs/>
          <w:sz w:val="56"/>
          <w:szCs w:val="56"/>
        </w:rPr>
      </w:pPr>
      <w:r>
        <w:rPr>
          <w:lang w:eastAsia="ko-KR"/>
          <w:rFonts w:ascii="Garamond" w:eastAsia="바탕" w:hAnsi="Garamond"/>
          <w:bCs/>
          <w:sz w:val="56"/>
          <w:szCs w:val="56"/>
          <w:rtl w:val="off"/>
        </w:rPr>
        <w:t>에이피자산운용(주)</w:t>
      </w:r>
    </w:p>
    <w:p>
      <w:pPr>
        <w:ind w:right="10"/>
        <w:jc w:val="center"/>
        <w:spacing w:after="253" w:line="259" w:lineRule="auto"/>
        <w:rPr>
          <w:rFonts w:asciiTheme="minorEastAsia" w:eastAsiaTheme="minorEastAsia" w:hAnsiTheme="minorEastAsia"/>
          <w:b/>
          <w:color w:val="auto"/>
        </w:rPr>
      </w:pPr>
    </w:p>
    <w:p>
      <w:pPr>
        <w:jc w:val="center"/>
        <w:spacing w:line="276" w:lineRule="auto"/>
        <w:rPr>
          <w:rFonts w:asciiTheme="majorEastAsia" w:eastAsiaTheme="majorEastAsia" w:hAnsiTheme="majorEastAsia" w:cs="굴림"/>
          <w:color w:val="auto"/>
          <w:sz w:val="40"/>
          <w:szCs w:val="48"/>
          <w:kern w:val="0"/>
        </w:rPr>
      </w:pPr>
    </w:p>
    <w:p>
      <w:pPr>
        <w:jc w:val="center"/>
        <w:spacing w:line="276" w:lineRule="auto"/>
        <w:rPr>
          <w:rFonts w:asciiTheme="majorEastAsia" w:eastAsiaTheme="majorEastAsia" w:hAnsiTheme="majorEastAsia" w:cs="굴림"/>
          <w:color w:val="auto"/>
          <w:sz w:val="40"/>
          <w:szCs w:val="48"/>
          <w:kern w:val="0"/>
        </w:rPr>
      </w:pPr>
      <w:r>
        <w:rPr>
          <w:rFonts w:asciiTheme="majorEastAsia" w:eastAsiaTheme="majorEastAsia" w:hAnsiTheme="majorEastAsia" w:cs="굴림"/>
          <w:color w:val="auto"/>
          <w:sz w:val="40"/>
          <w:szCs w:val="48"/>
          <w:kern w:val="0"/>
        </w:rPr>
        <w:t>금융소비자보호기준</w:t>
      </w:r>
    </w:p>
    <w:p>
      <w:pPr>
        <w:jc w:val="left"/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jc w:val="right"/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제정일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2021.</w:t>
      </w:r>
      <w:r>
        <w:rPr>
          <w:lang w:eastAsia="ko-KR"/>
          <w:rFonts w:asciiTheme="majorEastAsia" w:eastAsiaTheme="majorEastAsia" w:hAnsiTheme="majorEastAsia" w:cs="굴림"/>
          <w:color w:val="auto"/>
          <w:sz w:val="20"/>
          <w:szCs w:val="20"/>
          <w:kern w:val="0"/>
          <w:rtl w:val="off"/>
        </w:rPr>
        <w:t>12.30</w:t>
      </w:r>
    </w:p>
    <w:p>
      <w:pPr>
        <w:jc w:val="right"/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jc w:val="center"/>
        <w:spacing w:line="276" w:lineRule="auto"/>
        <w:rPr>
          <w:rFonts w:asciiTheme="majorEastAsia" w:eastAsiaTheme="majorEastAsia" w:hAnsiTheme="majorEastAsia" w:cs="굴림"/>
          <w:color w:val="000000"/>
          <w:sz w:val="24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제1장 총칙</w:t>
      </w:r>
      <w:r>
        <w:rPr>
          <w:rFonts w:asciiTheme="majorEastAsia" w:eastAsiaTheme="majorEastAsia" w:hAnsiTheme="majorEastAsia" w:cs="굴림"/>
          <w:color w:val="000000"/>
          <w:sz w:val="24"/>
          <w:szCs w:val="20"/>
          <w:kern w:val="0"/>
        </w:rPr>
        <w:t xml:space="preserve"> 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  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spacing w:line="276" w:lineRule="auto"/>
        <w:rPr>
          <w:rFonts w:asciiTheme="majorEastAsia" w:eastAsiaTheme="majorEastAsia" w:hAnsiTheme="majorEastAsia" w:cs="굴림"/>
          <w:b/>
          <w:bCs/>
          <w:color w:val="000000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bCs/>
          <w:color w:val="000000"/>
          <w:sz w:val="20"/>
          <w:szCs w:val="20"/>
          <w:kern w:val="0"/>
        </w:rPr>
        <w:t xml:space="preserve">제1조(목적) </w:t>
      </w:r>
    </w:p>
    <w:p>
      <w:pPr>
        <w:spacing w:line="276" w:lineRule="auto"/>
        <w:rPr>
          <w:rFonts w:asciiTheme="majorEastAsia" w:eastAsiaTheme="majorEastAsia" w:hAnsiTheme="majorEastAsia" w:cs="굴림"/>
          <w:b/>
          <w:bCs/>
          <w:color w:val="000000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이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기준은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</w:t>
      </w:r>
      <w:r>
        <w:rPr>
          <w:lang w:eastAsia="ko-KR"/>
          <w:rFonts w:asciiTheme="majorEastAsia" w:eastAsiaTheme="majorEastAsia" w:hAnsiTheme="majorEastAsia" w:cs="굴림"/>
          <w:color w:val="auto"/>
          <w:sz w:val="20"/>
          <w:szCs w:val="20"/>
          <w:kern w:val="0"/>
          <w:rtl w:val="off"/>
        </w:rPr>
        <w:t xml:space="preserve">에이피자산운용 주식회사가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「금융소비자 보호에 관한 법률」 제32조 제3항에 따라 금융소비자 불만 예방 및 신속한 사후구제를 통하여 금융소비자를 보호하기 위하여 임직원이 업무를 수행할 때 준수하여야 할 기본적인 절차와 기준을 마련함을 목적으로 한다.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 </w:t>
      </w:r>
    </w:p>
    <w:p>
      <w:pPr>
        <w:spacing w:after="60" w:line="276" w:lineRule="auto"/>
        <w:rPr>
          <w:rFonts w:asciiTheme="majorEastAsia" w:eastAsiaTheme="majorEastAsia" w:hAnsiTheme="majorEastAsia" w:cs="굴림"/>
          <w:b/>
          <w:bCs/>
          <w:color w:val="000000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bCs/>
          <w:color w:val="000000"/>
          <w:sz w:val="20"/>
          <w:szCs w:val="20"/>
          <w:kern w:val="0"/>
        </w:rPr>
        <w:t xml:space="preserve">제2조(정의) </w:t>
      </w:r>
    </w:p>
    <w:p>
      <w:pPr>
        <w:spacing w:after="60" w:line="276" w:lineRule="auto"/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이 기준에서 사용하는 용어의 뜻은 다음과 같다.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이 기준에서 사용하는 용어는 이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 기준에서 달리 정의되지 않는 한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「금융소비자보호에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 관한 법률」 (이하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“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법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”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이라 한다), 「금융소비자 보호에 관한 법률 시행령」(이하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“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시행령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”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이라 한다), 「금융소비자 보호에 관한 감독규정」(이하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“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감독규정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”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이라 한다)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,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내부통제기준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에서 정의된 용어와 동일한 의미를 갖는다.</w:t>
      </w:r>
    </w:p>
    <w:p>
      <w:pPr>
        <w:pStyle w:val="a7"/>
        <w:ind w:leftChars="0"/>
        <w:numPr>
          <w:ilvl w:val="0"/>
          <w:numId w:val="1"/>
        </w:numPr>
        <w:spacing w:after="60" w:line="276" w:lineRule="auto"/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“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금융상품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”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이란 회사가 금융소비자를 상대로 계약을 체결함에 있어 그 대상이 되는 상품 및 서비스를 말한다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.</w:t>
      </w:r>
    </w:p>
    <w:p>
      <w:pPr>
        <w:pStyle w:val="a7"/>
        <w:ind w:leftChars="0"/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“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금융소비자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”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란 회사의 금융거래 상대방을 말한다.</w:t>
      </w:r>
    </w:p>
    <w:p>
      <w:pPr>
        <w:pStyle w:val="a7"/>
        <w:ind w:leftChars="0"/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“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금융소비자의 권리행사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”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란 금융소비자가 청약철회권,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위법계약해지권 등 법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에 따른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 권리를 회사에 대하여 행사하는 것을 말한다.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 </w:t>
      </w:r>
    </w:p>
    <w:p>
      <w:pPr>
        <w:pStyle w:val="a7"/>
        <w:ind w:leftChars="0"/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“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금융소비자보호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내부통제기준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”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이란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법 제1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6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조 제2항에서 정한 금융소비자보호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내부통제기준을 말한다.</w:t>
      </w:r>
    </w:p>
    <w:p>
      <w:pPr>
        <w:pStyle w:val="a7"/>
        <w:ind w:leftChars="0"/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“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대리중개업자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”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라 함은 법에 따른 금융상품판매대리</w:t>
      </w:r>
      <w:r>
        <w:rPr>
          <w:rFonts w:asciiTheme="majorEastAsia" w:eastAsiaTheme="majorEastAsia" w:hAnsiTheme="majorEastAsia"/>
          <w:sz w:val="20"/>
          <w:szCs w:val="20"/>
        </w:rPr>
        <w:t>·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중개업자를 말한다.</w:t>
      </w:r>
    </w:p>
    <w:p>
      <w:pPr>
        <w:pStyle w:val="a7"/>
        <w:ind w:leftChars="0"/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“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민원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”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이라 함은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금융소비자의 권리행사를 포함하여,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업무와 관련하여 고객 또는 이해관계인이 서면 또는 구두, 전자메일 등으로 제기하는 제반 이의신청, 진정, 건의, 또는 질의 등을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총칭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한다.</w:t>
      </w:r>
    </w:p>
    <w:p>
      <w:pPr>
        <w:pStyle w:val="a7"/>
        <w:ind w:leftChars="0"/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“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분쟁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”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이라 함은 소송,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조정,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중재를 포함하여 금융소비자와 회사 사이의 다툼을 말한다.</w:t>
      </w:r>
    </w:p>
    <w:p>
      <w:pPr>
        <w:pStyle w:val="a7"/>
        <w:ind w:leftChars="0"/>
        <w:spacing w:line="276" w:lineRule="auto"/>
        <w:rPr>
          <w:rFonts w:asciiTheme="majorEastAsia" w:eastAsiaTheme="majorEastAsia" w:hAnsiTheme="majorEastAsia" w:cs="굴림"/>
          <w:color w:val="000000"/>
          <w:sz w:val="20"/>
          <w:szCs w:val="20"/>
          <w:highlight w:val="yellow"/>
          <w:kern w:val="0"/>
        </w:rPr>
      </w:pPr>
    </w:p>
    <w:p>
      <w:pPr>
        <w:pStyle w:val="a7"/>
        <w:ind w:leftChars="0"/>
        <w:spacing w:line="276" w:lineRule="auto"/>
        <w:rPr>
          <w:rFonts w:asciiTheme="majorEastAsia" w:eastAsiaTheme="majorEastAsia" w:hAnsiTheme="majorEastAsia" w:cs="굴림"/>
          <w:color w:val="000000"/>
          <w:sz w:val="20"/>
          <w:szCs w:val="20"/>
          <w:highlight w:val="yellow"/>
          <w:kern w:val="0"/>
        </w:rPr>
      </w:pPr>
    </w:p>
    <w:p>
      <w:pPr>
        <w:jc w:val="center"/>
        <w:spacing w:line="276" w:lineRule="auto"/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2장 금융소비자의 권리 및 안내</w:t>
      </w:r>
    </w:p>
    <w:p>
      <w:pPr>
        <w:ind w:firstLine="255"/>
        <w:spacing w:line="276" w:lineRule="auto"/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</w:pPr>
    </w:p>
    <w:p>
      <w:pPr>
        <w:spacing w:line="276" w:lineRule="auto"/>
        <w:rPr>
          <w:rFonts w:asciiTheme="majorEastAsia" w:eastAsiaTheme="majorEastAsia" w:hAnsiTheme="majorEastAsia" w:cs="굴림"/>
          <w:b/>
          <w:bCs/>
          <w:color w:val="000000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bCs/>
          <w:color w:val="000000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bCs/>
          <w:color w:val="000000"/>
          <w:sz w:val="20"/>
          <w:szCs w:val="20"/>
          <w:kern w:val="0"/>
        </w:rPr>
        <w:t>3</w:t>
      </w:r>
      <w:r>
        <w:rPr>
          <w:rFonts w:asciiTheme="majorEastAsia" w:eastAsiaTheme="majorEastAsia" w:hAnsiTheme="majorEastAsia" w:cs="굴림"/>
          <w:b/>
          <w:bCs/>
          <w:color w:val="000000"/>
          <w:sz w:val="20"/>
          <w:szCs w:val="20"/>
          <w:kern w:val="0"/>
        </w:rPr>
        <w:t>조(금융소비자의 권리)</w:t>
      </w:r>
      <w:r>
        <w:rPr>
          <w:rFonts w:asciiTheme="majorEastAsia" w:eastAsiaTheme="majorEastAsia" w:hAnsiTheme="majorEastAsia" w:cs="굴림"/>
          <w:b/>
          <w:bCs/>
          <w:color w:val="000000"/>
          <w:sz w:val="20"/>
          <w:szCs w:val="20"/>
          <w:kern w:val="0"/>
        </w:rPr>
        <w:t xml:space="preserve"> </w:t>
      </w:r>
    </w:p>
    <w:p>
      <w:pPr>
        <w:spacing w:line="276" w:lineRule="auto"/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  <w:t>금융소비자는 다음 각 호의 권리를 가진다.</w:t>
      </w:r>
    </w:p>
    <w:p>
      <w:pPr>
        <w:pStyle w:val="a7"/>
        <w:ind w:leftChars="0"/>
        <w:numPr>
          <w:ilvl w:val="0"/>
          <w:numId w:val="2"/>
        </w:numPr>
        <w:spacing w:after="60"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sz w:val="20"/>
          <w:szCs w:val="20"/>
          <w:kern w:val="0"/>
        </w:rPr>
        <w:t>금융상품판매업자등의 위법한 영업행위로 인한 재산상 손해로부터 보호받을 권리</w:t>
      </w:r>
    </w:p>
    <w:p>
      <w:pPr>
        <w:pStyle w:val="a7"/>
        <w:ind w:leftChars="0"/>
        <w:numPr>
          <w:ilvl w:val="0"/>
          <w:numId w:val="2"/>
        </w:numPr>
        <w:spacing w:after="60" w:line="276" w:lineRule="auto"/>
        <w:rPr>
          <w:rFonts w:asciiTheme="majorEastAsia" w:eastAsiaTheme="majorEastAsia" w:hAnsiTheme="majorEastAsia" w:cs="굴림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sz w:val="20"/>
          <w:szCs w:val="20"/>
          <w:kern w:val="0"/>
        </w:rPr>
        <w:t>금융상품을 선택하고 소비하는 과정에서 필요한 지식 및 정보를 제공받을 권리</w:t>
      </w:r>
    </w:p>
    <w:p>
      <w:pPr>
        <w:pStyle w:val="a7"/>
        <w:ind w:leftChars="0"/>
        <w:numPr>
          <w:ilvl w:val="0"/>
          <w:numId w:val="2"/>
        </w:numPr>
        <w:spacing w:after="60" w:line="276" w:lineRule="auto"/>
        <w:rPr>
          <w:rFonts w:asciiTheme="majorEastAsia" w:eastAsiaTheme="majorEastAsia" w:hAnsiTheme="majorEastAsia" w:cs="굴림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sz w:val="20"/>
          <w:szCs w:val="20"/>
          <w:kern w:val="0"/>
        </w:rPr>
        <w:t>금융상품의 소비로 인하여 입은 피해에 대하여 신속ㆍ공정한 절차에 따라 적절한 보상을 받을 권리</w:t>
      </w:r>
    </w:p>
    <w:p>
      <w:pPr>
        <w:pStyle w:val="a7"/>
        <w:ind w:leftChars="0"/>
        <w:numPr>
          <w:ilvl w:val="0"/>
          <w:numId w:val="2"/>
        </w:numPr>
        <w:spacing w:after="60" w:line="276" w:lineRule="auto"/>
        <w:rPr>
          <w:rFonts w:asciiTheme="majorEastAsia" w:eastAsiaTheme="majorEastAsia" w:hAnsiTheme="majorEastAsia" w:cs="굴림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sz w:val="20"/>
          <w:szCs w:val="20"/>
          <w:kern w:val="0"/>
        </w:rPr>
        <w:t>기타 법률에 따라 보장되는 금융소비자의 권리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4조(금융소비자의 권리 안내 방법)</w:t>
      </w:r>
    </w:p>
    <w:p>
      <w:pPr>
        <w:pStyle w:val="a7"/>
        <w:ind w:leftChars="0"/>
        <w:numPr>
          <w:ilvl w:val="0"/>
          <w:numId w:val="3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회사는 금융상품과 관련한 금융소비자보호법규 등 관련 법령이나 계약상 금융소비자의 권리 및 금융소비자에게 부담이 되는 정보에 대한 안내 방법을 마련하고, 소비자보호 및 시의성 등을 고려하여 안내시기ㆍ내용에 대한 매뉴얼을 정할 수 있다.</w:t>
      </w:r>
    </w:p>
    <w:p>
      <w:pPr>
        <w:pStyle w:val="a7"/>
        <w:ind w:leftChars="0"/>
        <w:numPr>
          <w:ilvl w:val="0"/>
          <w:numId w:val="3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제1항과 관련하여 회사는 금융소비자가 특정 방법으로 안내해 줄 것을 요청하는 경우에는 그 방법으로 안내할 수 있도록 최대한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노력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한다.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jc w:val="center"/>
        <w:spacing w:line="276" w:lineRule="auto"/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3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장 민원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sym w:font="Wingdings" w:char="F0A0"/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분쟁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 xml:space="preserve"> 발생시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업무처리 절차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 </w:t>
      </w: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5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(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민원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의 접수 및 관리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)</w:t>
      </w:r>
    </w:p>
    <w:p>
      <w:pPr>
        <w:pStyle w:val="a7"/>
        <w:ind w:leftChars="0"/>
        <w:numPr>
          <w:ilvl w:val="0"/>
          <w:numId w:val="4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민원사항은 민원업무 주관부서(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이 장에서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“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주관부서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”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라 한다)에서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기록·관리·유지</w:t>
      </w:r>
      <w:ins w:id="2" w:author="박성우/책임/Compliance팀" w:date="2021-09-07T13:36:00Z">
        <w:r>
          <w:rPr>
            <w:rFonts w:asciiTheme="majorEastAsia" w:eastAsiaTheme="majorEastAsia" w:hAnsiTheme="majorEastAsia" w:cs="굴림"/>
            <w:color w:val="auto"/>
            <w:sz w:val="20"/>
            <w:szCs w:val="20"/>
            <w:kern w:val="0"/>
          </w:rPr>
          <w:t xml:space="preserve"> </w:t>
        </w:r>
      </w:ins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한다.</w:t>
      </w:r>
    </w:p>
    <w:p>
      <w:pPr>
        <w:pStyle w:val="a7"/>
        <w:ind w:leftChars="0"/>
        <w:numPr>
          <w:ilvl w:val="0"/>
          <w:numId w:val="4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민원을 접수 또는 이첩 받은 부서는 즉시 해당민원을 주관부서에 이첩시켜야 한다.</w:t>
      </w:r>
    </w:p>
    <w:p>
      <w:pPr>
        <w:pStyle w:val="a7"/>
        <w:ind w:leftChars="0"/>
        <w:numPr>
          <w:ilvl w:val="0"/>
          <w:numId w:val="4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주관부서는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[금융소비자보호 총괄기관]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으로 한다.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  </w:t>
      </w: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6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(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민원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의 처리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)</w:t>
      </w:r>
    </w:p>
    <w:p>
      <w:pPr>
        <w:pStyle w:val="a7"/>
        <w:ind w:leftChars="0"/>
        <w:numPr>
          <w:ilvl w:val="0"/>
          <w:numId w:val="5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주관부서는 민원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의 내용을 고려하여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해당업무 담당부서(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이 장에서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“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담당부서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”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라 한다)에 이송하여 조사하게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할 수 있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다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.</w:t>
      </w:r>
    </w:p>
    <w:p>
      <w:pPr>
        <w:pStyle w:val="a7"/>
        <w:ind w:leftChars="0"/>
        <w:numPr>
          <w:ilvl w:val="0"/>
          <w:numId w:val="5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담당부서가 2개 이상인 경우에는 주관부서가 그 내용을 검토하여 1개 부서를 지정하여 이송할 수 있으며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,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지정된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담당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부서는 관련부서의 의견을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종합하여 그 조사결과를 주관부서에 통보해야 한다.</w:t>
      </w:r>
    </w:p>
    <w:p>
      <w:pPr>
        <w:pStyle w:val="a7"/>
        <w:ind w:leftChars="0"/>
        <w:numPr>
          <w:ilvl w:val="0"/>
          <w:numId w:val="5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민원서류 중 익명이나 가명으로 제출된 것임이 확인된 경우에는 이를 조사처리 하지 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아니할 수 있다.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7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(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흠결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의 보완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 xml:space="preserve"> 등)</w:t>
      </w:r>
    </w:p>
    <w:p>
      <w:pPr>
        <w:pStyle w:val="a7"/>
        <w:ind w:leftChars="0"/>
        <w:numPr>
          <w:ilvl w:val="0"/>
          <w:numId w:val="6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주관부서는 민원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내용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에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중대한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흠결이 있다고 인정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되는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때에는 상당한 기간을 정하여 지체 없이 민원인에게 보완 또는 보정을 요구하여야 한다.</w:t>
      </w:r>
    </w:p>
    <w:p>
      <w:pPr>
        <w:pStyle w:val="a7"/>
        <w:ind w:leftChars="0"/>
        <w:numPr>
          <w:ilvl w:val="0"/>
          <w:numId w:val="6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1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항에 의한 보완 또는 보정요구에도 응하지 아니한 경우에는 이를 취하한 것으로 본다.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 </w:t>
      </w: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8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(처리기간)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 xml:space="preserve"> </w:t>
      </w:r>
    </w:p>
    <w:p>
      <w:pPr>
        <w:pStyle w:val="a7"/>
        <w:ind w:leftChars="0"/>
        <w:numPr>
          <w:ilvl w:val="0"/>
          <w:numId w:val="7"/>
        </w:num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민원사무의 신속한 처리와 처리상의 책임을 분명히 하기 위하여 민원사무의 종류별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처리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기간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은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다음과 같이 한다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.</w:t>
      </w:r>
    </w:p>
    <w:p>
      <w:pPr>
        <w:pStyle w:val="a7"/>
        <w:ind w:leftChars="0"/>
        <w:numPr>
          <w:ilvl w:val="0"/>
          <w:numId w:val="8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진정 또는 건의사항: 14일</w:t>
      </w:r>
    </w:p>
    <w:p>
      <w:pPr>
        <w:pStyle w:val="a7"/>
        <w:ind w:leftChars="0"/>
        <w:numPr>
          <w:ilvl w:val="0"/>
          <w:numId w:val="8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질의사항: 7일 </w:t>
      </w:r>
    </w:p>
    <w:p>
      <w:pPr>
        <w:pStyle w:val="a7"/>
        <w:ind w:leftChars="0"/>
        <w:numPr>
          <w:ilvl w:val="0"/>
          <w:numId w:val="7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제1항에도 불구하고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7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장에서 별도로 정한 처리기간이 있는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금융소비자의 권리행사에 해당하는 민원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또는 관련 법규 등(감독기관의 행정지도 사항을 포함한다)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에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서 제1항과 달리 정한 민원에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대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하여는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그에 따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른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9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(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 xml:space="preserve">기간의 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계산)</w:t>
      </w:r>
    </w:p>
    <w:p>
      <w:pPr>
        <w:pStyle w:val="a7"/>
        <w:ind w:leftChars="0"/>
        <w:numPr>
          <w:ilvl w:val="0"/>
          <w:numId w:val="9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민원사무처리기간의 계산은 민원서류가 회사에 최초로 접수된 날부터 민원인에게 최종 회신을 발송한 날 까지로 하되 최초 접수일과 최종회신일은 1일로 본다.</w:t>
      </w:r>
    </w:p>
    <w:p>
      <w:pPr>
        <w:pStyle w:val="a7"/>
        <w:ind w:leftChars="0"/>
        <w:numPr>
          <w:ilvl w:val="0"/>
          <w:numId w:val="9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민원사무처리기간은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“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일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”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단위로 계산하며, 다음 각 호의 기간은 이를 산입하지 아니한다.</w:t>
      </w:r>
    </w:p>
    <w:p>
      <w:pPr>
        <w:pStyle w:val="a7"/>
        <w:ind w:leftChars="0"/>
        <w:numPr>
          <w:ilvl w:val="0"/>
          <w:numId w:val="10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민원서류의 보완, 보정에 소요되는 기간</w:t>
      </w:r>
    </w:p>
    <w:p>
      <w:pPr>
        <w:pStyle w:val="a7"/>
        <w:ind w:leftChars="0"/>
        <w:numPr>
          <w:ilvl w:val="0"/>
          <w:numId w:val="10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사실조회, 조사에 소요되는 시간</w:t>
      </w:r>
    </w:p>
    <w:p>
      <w:pPr>
        <w:pStyle w:val="a7"/>
        <w:ind w:leftChars="0"/>
        <w:numPr>
          <w:ilvl w:val="0"/>
          <w:numId w:val="10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민원인의 귀책사유로 인하여 지연되는 기간</w:t>
      </w:r>
    </w:p>
    <w:p>
      <w:pPr>
        <w:pStyle w:val="a7"/>
        <w:ind w:leftChars="0"/>
        <w:numPr>
          <w:ilvl w:val="0"/>
          <w:numId w:val="10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회사의 휴무일</w:t>
      </w:r>
    </w:p>
    <w:p>
      <w:pPr>
        <w:pStyle w:val="a7"/>
        <w:ind w:leftChars="0"/>
        <w:numPr>
          <w:ilvl w:val="0"/>
          <w:numId w:val="10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기타 부득이한 사유로 대표이사가 특별히 인정하는 기간  </w:t>
      </w:r>
    </w:p>
    <w:p>
      <w:pPr>
        <w:pStyle w:val="a7"/>
        <w:ind w:leftChars="0"/>
        <w:numPr>
          <w:ilvl w:val="0"/>
          <w:numId w:val="9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민원을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민원사무 처리기간 내에 처리할 수 없는 경우에는 그 사유와 연장기간을 민원인에게 즉시 통보하여야 한다.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 </w:t>
      </w: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10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(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 xml:space="preserve">민원처리결과 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회신)</w:t>
      </w:r>
    </w:p>
    <w:p>
      <w:pPr>
        <w:pStyle w:val="a7"/>
        <w:ind w:leftChars="0"/>
        <w:numPr>
          <w:ilvl w:val="0"/>
          <w:numId w:val="11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담당부서는 민원사항을 지체없이 조사하여 완결하는 때에는 그 결과를 즉시 주관부서장에게 통지하여야 하며 주관부서는 담당부서의 조사결과를 기초로 작성한 답변서를 문서로서 민원인에게 통지하여야 한다.</w:t>
      </w:r>
    </w:p>
    <w:p>
      <w:pPr>
        <w:pStyle w:val="a7"/>
        <w:ind w:leftChars="0"/>
        <w:numPr>
          <w:ilvl w:val="0"/>
          <w:numId w:val="11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주관부서는 민원인의 요구에 대하여 이를 거부하거나 민원사항의 해결이 불가능하다고 인정한 때에는 그 사유를 구체적으로 명시하여 통지하여야 한다. </w:t>
      </w:r>
    </w:p>
    <w:p>
      <w:pPr>
        <w:pStyle w:val="a7"/>
        <w:ind w:leftChars="0"/>
        <w:numPr>
          <w:ilvl w:val="0"/>
          <w:numId w:val="11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주관부서장은 민원처리의 결과를 민원인에게 통지하기 전에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준법감시인과 그 내용을 협의할 수 있다.</w:t>
      </w:r>
    </w:p>
    <w:p>
      <w:pPr>
        <w:pStyle w:val="a7"/>
        <w:ind w:leftChars="0"/>
        <w:numPr>
          <w:ilvl w:val="0"/>
          <w:numId w:val="11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민원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처리 결과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의 회신이 주소나 성명 등의 불명으로 2회에 걸쳐 반송되었을 경우에는 이를 취하한 것으로 본다.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 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 </w:t>
      </w: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11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조(분쟁처리 원칙)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 xml:space="preserve"> </w:t>
      </w: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주관부서는 금융소비자와 회사 사이에 분쟁이 발생한 경우 이를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대표이사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에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게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보고하여야 한다.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1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2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 (민원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sym w:font="Wingdings" w:char="F0A0"/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분쟁 전산처리시스템)</w:t>
      </w:r>
    </w:p>
    <w:p>
      <w:pPr>
        <w:pStyle w:val="a7"/>
        <w:ind w:leftChars="0"/>
        <w:numPr>
          <w:ilvl w:val="0"/>
          <w:numId w:val="12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주관부서는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다음 각호의 사항을 효율적</w:t>
      </w:r>
      <w:r>
        <w:rPr>
          <w:rFonts w:asciiTheme="majorEastAsia" w:eastAsiaTheme="majorEastAsia" w:hAnsiTheme="majorEastAsia"/>
          <w:sz w:val="20"/>
          <w:szCs w:val="20"/>
        </w:rPr>
        <w:sym w:font="Wingdings" w:char="F0A0"/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체계적으로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관리하기 위하여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[별표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1]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과 같은 내용의 민원</w:t>
      </w:r>
      <w:r>
        <w:rPr>
          <w:rFonts w:asciiTheme="majorEastAsia" w:eastAsiaTheme="majorEastAsia" w:hAnsiTheme="majorEastAsia"/>
          <w:color w:val="auto"/>
          <w:sz w:val="20"/>
          <w:szCs w:val="20"/>
        </w:rPr>
        <w:sym w:font="Wingdings" w:char="F0A0"/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분쟁 전산처리시스템을 운영하여야 한다.</w:t>
      </w:r>
    </w:p>
    <w:p>
      <w:pPr>
        <w:pStyle w:val="a7"/>
        <w:ind w:leftChars="0"/>
        <w:numPr>
          <w:ilvl w:val="0"/>
          <w:numId w:val="13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금융소비자의 민원 상황 및 처리결과</w:t>
      </w:r>
    </w:p>
    <w:p>
      <w:pPr>
        <w:pStyle w:val="a7"/>
        <w:ind w:leftChars="0"/>
        <w:numPr>
          <w:ilvl w:val="0"/>
          <w:numId w:val="13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금융소비자와의 분쟁조정</w:t>
      </w:r>
      <w:r>
        <w:rPr>
          <w:rFonts w:asciiTheme="majorEastAsia" w:eastAsiaTheme="majorEastAsia" w:hAnsiTheme="majorEastAsia"/>
          <w:sz w:val="20"/>
          <w:szCs w:val="20"/>
        </w:rPr>
        <w:sym w:font="Wingdings" w:char="F0A0"/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소송 진행상황 및 결과</w:t>
      </w:r>
    </w:p>
    <w:p>
      <w:pPr>
        <w:pStyle w:val="a7"/>
        <w:ind w:leftChars="0"/>
        <w:numPr>
          <w:ilvl w:val="0"/>
          <w:numId w:val="12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1항에 따른 전자정보처리시스템은 진행 단계별로 구분되어야 하고, 각 단계별 소요기간, 업무담당자를 명시하여야 하며, 민원ㆍ분쟁 진행 상황 및 처리결과의 주요 내용을 금융소비자가 요청하는 방법으로 안내ㆍ통지할 수 있는 방법을 마련하여야 한다.</w:t>
      </w:r>
    </w:p>
    <w:p>
      <w:pPr>
        <w:pStyle w:val="a7"/>
        <w:ind w:leftChars="0"/>
        <w:numPr>
          <w:ilvl w:val="0"/>
          <w:numId w:val="12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회사는 제1항의 전자정보처리시스템을 통하여 민원처리시 접수사실 및 사실관계 조사현황 등을 정기적으로 금융소비자에게 고지하며, 민원인의 의견을 회사 경영에 반영하여 민원예방에 노력한다.</w:t>
      </w:r>
    </w:p>
    <w:p>
      <w:pPr>
        <w:pStyle w:val="a7"/>
        <w:ind w:leftChars="0"/>
        <w:numPr>
          <w:ilvl w:val="0"/>
          <w:numId w:val="12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회사는 민원처리 결과를 금융소비자가 수긍할 수 있도록 관련 법령, 사실관계 조사결과 등 명시적인 근거를 제시하고 금융소비자가 이해하기 쉬운 용어를 사용하며, 민원처리 후에는 처리결과를 문서, 팩스, 전자우편, 문자메시지, 전화 등의 방법으로 금융소비자에게 통지한다.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단,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금융소비자의 권리행사에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해당하는 민원에 대하여는 제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7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장에서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별도로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정한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통지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방법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이 있으면 그에 따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른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다.</w:t>
      </w:r>
    </w:p>
    <w:p>
      <w:pPr>
        <w:pStyle w:val="a7"/>
        <w:ind w:leftChars="0" w:left="400"/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jc w:val="center"/>
        <w:spacing w:line="276" w:lineRule="auto"/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4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장 금융소비자보호기준의 운영을 위한 조직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sym w:font="Wingdings" w:char="F0A0"/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인력</w:t>
      </w:r>
    </w:p>
    <w:p>
      <w:pPr>
        <w:snapToGrid w:val="0"/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</w:p>
    <w:p>
      <w:pPr>
        <w:snapToGrid w:val="0"/>
        <w:spacing w:line="276" w:lineRule="auto"/>
        <w:textAlignment w:val="bottom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/>
          <w:b/>
          <w:sz w:val="20"/>
          <w:szCs w:val="20"/>
        </w:rPr>
        <w:t>제</w:t>
      </w:r>
      <w:r>
        <w:rPr>
          <w:rFonts w:asciiTheme="majorEastAsia" w:eastAsiaTheme="majorEastAsia" w:hAnsiTheme="majorEastAsia"/>
          <w:b/>
          <w:sz w:val="20"/>
          <w:szCs w:val="20"/>
        </w:rPr>
        <w:t>13</w:t>
      </w:r>
      <w:r>
        <w:rPr>
          <w:rFonts w:asciiTheme="majorEastAsia" w:eastAsiaTheme="majorEastAsia" w:hAnsiTheme="majorEastAsia"/>
          <w:b/>
          <w:sz w:val="20"/>
          <w:szCs w:val="20"/>
        </w:rPr>
        <w:t>조(운영 조직 및 인력)</w:t>
      </w:r>
    </w:p>
    <w:p>
      <w:pPr>
        <w:pStyle w:val="a7"/>
        <w:ind w:leftChars="0"/>
        <w:snapToGrid w:val="0"/>
        <w:numPr>
          <w:ilvl w:val="0"/>
          <w:numId w:val="14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금융소비자보호기준의 운영</w:t>
      </w:r>
      <w:r>
        <w:rPr>
          <w:rFonts w:asciiTheme="majorEastAsia" w:eastAsiaTheme="majorEastAsia" w:hAnsiTheme="majorEastAsia"/>
          <w:sz w:val="20"/>
          <w:szCs w:val="20"/>
        </w:rPr>
        <w:t xml:space="preserve">은 </w:t>
      </w:r>
      <w:r>
        <w:rPr>
          <w:rFonts w:asciiTheme="majorEastAsia" w:eastAsiaTheme="majorEastAsia" w:hAnsiTheme="majorEastAsia"/>
          <w:sz w:val="20"/>
          <w:szCs w:val="20"/>
        </w:rPr>
        <w:t>준법감시담당부서에서 담당한다</w:t>
      </w:r>
      <w:r>
        <w:rPr>
          <w:rFonts w:asciiTheme="majorEastAsia" w:eastAsiaTheme="majorEastAsia" w:hAnsiTheme="majorEastAsia"/>
          <w:sz w:val="20"/>
          <w:szCs w:val="20"/>
        </w:rPr>
        <w:t>.</w:t>
      </w:r>
    </w:p>
    <w:p>
      <w:pPr>
        <w:pStyle w:val="a7"/>
        <w:ind w:leftChars="0"/>
        <w:snapToGrid w:val="0"/>
        <w:numPr>
          <w:ilvl w:val="0"/>
          <w:numId w:val="14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회사는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금융소비자보호</w:t>
      </w:r>
      <w:r>
        <w:rPr>
          <w:rFonts w:asciiTheme="majorEastAsia" w:eastAsiaTheme="majorEastAsia" w:hAnsiTheme="majorEastAsia"/>
          <w:sz w:val="20"/>
          <w:szCs w:val="20"/>
        </w:rPr>
        <w:t xml:space="preserve"> 내부통제기준에 부합하게 금융소비자보호 총괄책임자</w:t>
      </w:r>
      <w:r>
        <w:rPr>
          <w:rFonts w:asciiTheme="majorEastAsia" w:eastAsiaTheme="majorEastAsia" w:hAnsiTheme="majorEastAsia"/>
          <w:sz w:val="20"/>
          <w:szCs w:val="20"/>
        </w:rPr>
        <w:t>는 준법감시인이 하며</w:t>
      </w:r>
      <w:r>
        <w:rPr>
          <w:rFonts w:asciiTheme="majorEastAsia" w:eastAsiaTheme="majorEastAsia" w:hAnsiTheme="majorEastAsia"/>
          <w:sz w:val="20"/>
          <w:szCs w:val="20"/>
        </w:rPr>
        <w:t xml:space="preserve"> 금융소비자보호 총괄기관을 설치</w:t>
      </w:r>
      <w:r>
        <w:rPr>
          <w:rFonts w:asciiTheme="majorEastAsia" w:eastAsiaTheme="majorEastAsia" w:hAnsiTheme="majorEastAsia"/>
          <w:sz w:val="20"/>
          <w:szCs w:val="20"/>
        </w:rPr>
        <w:t>·</w:t>
      </w:r>
      <w:r>
        <w:rPr>
          <w:rFonts w:asciiTheme="majorEastAsia" w:eastAsiaTheme="majorEastAsia" w:hAnsiTheme="majorEastAsia"/>
          <w:sz w:val="20"/>
          <w:szCs w:val="20"/>
        </w:rPr>
        <w:t>운영한다.</w:t>
      </w:r>
    </w:p>
    <w:p>
      <w:pPr>
        <w:pStyle w:val="a7"/>
        <w:ind w:leftChars="0"/>
        <w:snapToGrid w:val="0"/>
        <w:numPr>
          <w:ilvl w:val="0"/>
          <w:numId w:val="14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회사는</w:t>
      </w:r>
      <w:r>
        <w:rPr>
          <w:rFonts w:asciiTheme="majorEastAsia" w:eastAsiaTheme="majorEastAsia" w:hAnsiTheme="majorEastAsia"/>
          <w:sz w:val="20"/>
          <w:szCs w:val="20"/>
        </w:rPr>
        <w:t xml:space="preserve"> 금융소비자 업무</w:t>
      </w:r>
      <w:r>
        <w:rPr>
          <w:rFonts w:asciiTheme="majorEastAsia" w:eastAsiaTheme="majorEastAsia" w:hAnsiTheme="majorEastAsia"/>
          <w:sz w:val="20"/>
          <w:szCs w:val="20"/>
        </w:rPr>
        <w:t xml:space="preserve">를 </w:t>
      </w:r>
      <w:r>
        <w:rPr>
          <w:rFonts w:asciiTheme="majorEastAsia" w:eastAsiaTheme="majorEastAsia" w:hAnsiTheme="majorEastAsia"/>
          <w:sz w:val="20"/>
          <w:szCs w:val="20"/>
        </w:rPr>
        <w:t>전담</w:t>
      </w:r>
      <w:r>
        <w:rPr>
          <w:rFonts w:asciiTheme="majorEastAsia" w:eastAsiaTheme="majorEastAsia" w:hAnsiTheme="majorEastAsia"/>
          <w:sz w:val="20"/>
          <w:szCs w:val="20"/>
        </w:rPr>
        <w:t xml:space="preserve">하는 </w:t>
      </w:r>
      <w:r>
        <w:rPr>
          <w:rFonts w:asciiTheme="majorEastAsia" w:eastAsiaTheme="majorEastAsia" w:hAnsiTheme="majorEastAsia"/>
          <w:sz w:val="20"/>
          <w:szCs w:val="20"/>
        </w:rPr>
        <w:t xml:space="preserve">자에 대한 근무 평가 시 징계 등 특별한 경우를 제외하고, 금융소비자보호 관련 실적이 우수한 자에게 인사 상 가점을 부여하며, 타 업무 담당자 등 타 직군 등에 비해 직군차별, 승진 누락 등 인사평가의 불이익이 발생하지 않도록 </w:t>
      </w:r>
      <w:r>
        <w:rPr>
          <w:rFonts w:asciiTheme="majorEastAsia" w:eastAsiaTheme="majorEastAsia" w:hAnsiTheme="majorEastAsia"/>
          <w:sz w:val="20"/>
          <w:szCs w:val="20"/>
        </w:rPr>
        <w:t>한다.</w:t>
      </w:r>
    </w:p>
    <w:p>
      <w:pPr>
        <w:snapToGrid w:val="0"/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</w:p>
    <w:p>
      <w:pPr>
        <w:snapToGrid w:val="0"/>
        <w:spacing w:line="276" w:lineRule="auto"/>
        <w:textAlignment w:val="bottom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/>
          <w:b/>
          <w:sz w:val="20"/>
          <w:szCs w:val="20"/>
        </w:rPr>
        <w:t>제</w:t>
      </w:r>
      <w:r>
        <w:rPr>
          <w:rFonts w:asciiTheme="majorEastAsia" w:eastAsiaTheme="majorEastAsia" w:hAnsiTheme="majorEastAsia"/>
          <w:b/>
          <w:sz w:val="20"/>
          <w:szCs w:val="20"/>
        </w:rPr>
        <w:t>14</w:t>
      </w:r>
      <w:r>
        <w:rPr>
          <w:rFonts w:asciiTheme="majorEastAsia" w:eastAsiaTheme="majorEastAsia" w:hAnsiTheme="majorEastAsia"/>
          <w:b/>
          <w:sz w:val="20"/>
          <w:szCs w:val="20"/>
        </w:rPr>
        <w:t>조(총괄책임자)</w:t>
      </w:r>
      <w:r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5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금융소비자보호 총괄책임자는 다음 자격요건을 모두 갖춘 자</w:t>
      </w:r>
      <w:r>
        <w:rPr>
          <w:rFonts w:asciiTheme="majorEastAsia" w:eastAsiaTheme="majorEastAsia" w:hAnsiTheme="majorEastAsia"/>
          <w:sz w:val="20"/>
          <w:szCs w:val="20"/>
        </w:rPr>
        <w:t>이여야 한다.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6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최근 5년간 금융관계법령을 위반하여 금융위원회 또는 금융감독원의 원장으로부터 문책경고 또는 감봉요구 이상에 해당하는 조치를 받은 사실이 없을 것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6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최근 </w:t>
      </w:r>
      <w:r>
        <w:rPr>
          <w:rFonts w:asciiTheme="majorEastAsia" w:eastAsiaTheme="majorEastAsia" w:hAnsiTheme="majorEastAsia"/>
          <w:sz w:val="20"/>
          <w:szCs w:val="20"/>
        </w:rPr>
        <w:t>5</w:t>
      </w:r>
      <w:r>
        <w:rPr>
          <w:rFonts w:asciiTheme="majorEastAsia" w:eastAsiaTheme="majorEastAsia" w:hAnsiTheme="majorEastAsia"/>
          <w:sz w:val="20"/>
          <w:szCs w:val="20"/>
        </w:rPr>
        <w:t>년간 감봉(또는 그에 상응하는 제재를 포함한다) 이상에 해당하는 조치를 받은 사실이 없을 것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6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금융회사의 지배구조에 관한 법률 제5조에 따른 금융회사 임원의 자격요건을 충족하는 사람일 것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5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금융소비자보호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내부통제기준 제7조 제3항에서 말하는 금융소비자보호 총괄책임자에 위임된 업무는 다음과 같다.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7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금융소비자보호에</w:t>
      </w:r>
      <w:r>
        <w:rPr>
          <w:rFonts w:asciiTheme="majorEastAsia" w:eastAsiaTheme="majorEastAsia" w:hAnsiTheme="majorEastAsia"/>
          <w:sz w:val="20"/>
          <w:szCs w:val="20"/>
        </w:rPr>
        <w:t xml:space="preserve"> 필요한 절차 및 기준의 수립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7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금융상품</w:t>
      </w:r>
      <w:r>
        <w:rPr>
          <w:rFonts w:asciiTheme="majorEastAsia" w:eastAsiaTheme="majorEastAsia" w:hAnsiTheme="majorEastAsia"/>
          <w:sz w:val="20"/>
          <w:szCs w:val="20"/>
        </w:rPr>
        <w:t xml:space="preserve"> 각 단계(개발</w:t>
      </w:r>
      <w:r>
        <w:rPr>
          <w:rFonts w:ascii="MS Gothic" w:eastAsia="MS Gothic" w:hAnsi="MS Gothic" w:cs="MS Gothic" w:hint="eastAsia"/>
          <w:sz w:val="20"/>
          <w:szCs w:val="20"/>
        </w:rPr>
        <w:t>･</w:t>
      </w:r>
      <w:r>
        <w:rPr>
          <w:rFonts w:asciiTheme="majorEastAsia" w:eastAsiaTheme="majorEastAsia" w:hAnsiTheme="majorEastAsia" w:cs="바탕체"/>
          <w:sz w:val="20"/>
          <w:szCs w:val="20"/>
        </w:rPr>
        <w:t>판매</w:t>
      </w:r>
      <w:r>
        <w:rPr>
          <w:rFonts w:ascii="MS Gothic" w:eastAsia="MS Gothic" w:hAnsi="MS Gothic" w:cs="MS Gothic" w:hint="eastAsia"/>
          <w:sz w:val="20"/>
          <w:szCs w:val="20"/>
        </w:rPr>
        <w:t>･</w:t>
      </w:r>
      <w:r>
        <w:rPr>
          <w:rFonts w:asciiTheme="majorEastAsia" w:eastAsiaTheme="majorEastAsia" w:hAnsiTheme="majorEastAsia" w:cs="바탕체"/>
          <w:sz w:val="20"/>
          <w:szCs w:val="20"/>
        </w:rPr>
        <w:t>사후관리</w:t>
      </w:r>
      <w:r>
        <w:rPr>
          <w:rFonts w:asciiTheme="majorEastAsia" w:eastAsiaTheme="majorEastAsia" w:hAnsiTheme="majorEastAsia"/>
          <w:sz w:val="20"/>
          <w:szCs w:val="20"/>
        </w:rPr>
        <w:t>)별 금융소비자보호 체계에 관한 관리</w:t>
      </w:r>
      <w:r>
        <w:rPr>
          <w:rFonts w:ascii="MS Gothic" w:eastAsia="MS Gothic" w:hAnsi="MS Gothic" w:cs="MS Gothic" w:hint="eastAsia"/>
          <w:sz w:val="20"/>
          <w:szCs w:val="20"/>
        </w:rPr>
        <w:t>･</w:t>
      </w:r>
      <w:r>
        <w:rPr>
          <w:rFonts w:asciiTheme="majorEastAsia" w:eastAsiaTheme="majorEastAsia" w:hAnsiTheme="majorEastAsia" w:cs="바탕체"/>
          <w:sz w:val="20"/>
          <w:szCs w:val="20"/>
        </w:rPr>
        <w:t>감독</w:t>
      </w:r>
      <w:r>
        <w:rPr>
          <w:rFonts w:asciiTheme="majorEastAsia" w:eastAsiaTheme="majorEastAsia" w:hAnsiTheme="majorEastAsia"/>
          <w:sz w:val="20"/>
          <w:szCs w:val="20"/>
        </w:rPr>
        <w:t xml:space="preserve"> 업무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7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민원접수</w:t>
      </w:r>
      <w:r>
        <w:rPr>
          <w:rFonts w:asciiTheme="majorEastAsia" w:eastAsiaTheme="majorEastAsia" w:hAnsiTheme="majorEastAsia"/>
          <w:sz w:val="20"/>
          <w:szCs w:val="20"/>
        </w:rPr>
        <w:t xml:space="preserve"> 및 처리에 관한 관리</w:t>
      </w:r>
      <w:r>
        <w:rPr>
          <w:rFonts w:ascii="MS Gothic" w:eastAsia="MS Gothic" w:hAnsi="MS Gothic" w:cs="MS Gothic" w:hint="eastAsia"/>
          <w:sz w:val="20"/>
          <w:szCs w:val="20"/>
        </w:rPr>
        <w:t>･</w:t>
      </w:r>
      <w:r>
        <w:rPr>
          <w:rFonts w:asciiTheme="majorEastAsia" w:eastAsiaTheme="majorEastAsia" w:hAnsiTheme="majorEastAsia" w:cs="바탕체"/>
          <w:sz w:val="20"/>
          <w:szCs w:val="20"/>
        </w:rPr>
        <w:t>감독</w:t>
      </w:r>
      <w:r>
        <w:rPr>
          <w:rFonts w:asciiTheme="majorEastAsia" w:eastAsiaTheme="majorEastAsia" w:hAnsiTheme="majorEastAsia"/>
          <w:sz w:val="20"/>
          <w:szCs w:val="20"/>
        </w:rPr>
        <w:t xml:space="preserve"> 업무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7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금융소비자보호</w:t>
      </w:r>
      <w:r>
        <w:rPr>
          <w:rFonts w:asciiTheme="majorEastAsia" w:eastAsiaTheme="majorEastAsia" w:hAnsiTheme="majorEastAsia"/>
          <w:sz w:val="20"/>
          <w:szCs w:val="20"/>
        </w:rPr>
        <w:t xml:space="preserve"> 관련 관계부서 간 피드백 업무 총괄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7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대</w:t>
      </w:r>
      <w:r>
        <w:rPr>
          <w:rFonts w:ascii="MS Gothic" w:eastAsia="MS Gothic" w:hAnsi="MS Gothic" w:cs="MS Gothic" w:hint="eastAsia"/>
          <w:sz w:val="20"/>
          <w:szCs w:val="20"/>
        </w:rPr>
        <w:t>･</w:t>
      </w:r>
      <w:r>
        <w:rPr>
          <w:rFonts w:asciiTheme="majorEastAsia" w:eastAsiaTheme="majorEastAsia" w:hAnsiTheme="majorEastAsia" w:cs="바탕체"/>
          <w:sz w:val="20"/>
          <w:szCs w:val="20"/>
        </w:rPr>
        <w:t>내외</w:t>
      </w:r>
      <w:r>
        <w:rPr>
          <w:rFonts w:asciiTheme="majorEastAsia" w:eastAsiaTheme="majorEastAsia" w:hAnsiTheme="majorEastAsia"/>
          <w:sz w:val="20"/>
          <w:szCs w:val="20"/>
        </w:rPr>
        <w:t xml:space="preserve"> 금융소비자보호 관련 교육 프로그램 개발 및 운영 업무 총괄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7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제</w:t>
      </w:r>
      <w:r>
        <w:rPr>
          <w:rFonts w:asciiTheme="majorEastAsia" w:eastAsiaTheme="majorEastAsia" w:hAnsiTheme="majorEastAsia"/>
          <w:sz w:val="20"/>
          <w:szCs w:val="20"/>
        </w:rPr>
        <w:t>1호 내지 제3호의 업무를 수행하는 과정에서 발생할 수 있는 금융소비자 피해 가능성에 대해 종합적으로 점검</w:t>
      </w:r>
      <w:r>
        <w:rPr>
          <w:rFonts w:ascii="MS Gothic" w:eastAsia="MS Gothic" w:hAnsi="MS Gothic" w:cs="MS Gothic" w:hint="eastAsia"/>
          <w:sz w:val="20"/>
          <w:szCs w:val="20"/>
        </w:rPr>
        <w:t>･</w:t>
      </w:r>
      <w:r>
        <w:rPr>
          <w:rFonts w:asciiTheme="majorEastAsia" w:eastAsiaTheme="majorEastAsia" w:hAnsiTheme="majorEastAsia" w:cs="바탕체"/>
          <w:sz w:val="20"/>
          <w:szCs w:val="20"/>
        </w:rPr>
        <w:t>관리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7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매년 </w:t>
      </w:r>
      <w:r>
        <w:rPr>
          <w:rFonts w:asciiTheme="majorEastAsia" w:eastAsiaTheme="majorEastAsia" w:hAnsiTheme="majorEastAsia"/>
          <w:sz w:val="20"/>
          <w:szCs w:val="20"/>
        </w:rPr>
        <w:t>1</w:t>
      </w:r>
      <w:r>
        <w:rPr>
          <w:rFonts w:asciiTheme="majorEastAsia" w:eastAsiaTheme="majorEastAsia" w:hAnsiTheme="majorEastAsia"/>
          <w:sz w:val="20"/>
          <w:szCs w:val="20"/>
        </w:rPr>
        <w:t xml:space="preserve">회 이상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금융소비자보호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내부통제</w:t>
      </w:r>
      <w:r>
        <w:rPr>
          <w:rFonts w:asciiTheme="majorEastAsia" w:eastAsiaTheme="majorEastAsia" w:hAnsiTheme="majorEastAsia"/>
          <w:sz w:val="20"/>
          <w:szCs w:val="20"/>
        </w:rPr>
        <w:t>기준 준수 여부에 대한 부서별 점검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7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금융소비자보호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내부통제</w:t>
      </w:r>
      <w:r>
        <w:rPr>
          <w:rFonts w:asciiTheme="majorEastAsia" w:eastAsiaTheme="majorEastAsia" w:hAnsiTheme="majorEastAsia"/>
          <w:sz w:val="20"/>
          <w:szCs w:val="20"/>
        </w:rPr>
        <w:t>기준 위반 내용에 상응하는 조치방안 및 조치기준 마련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7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기타</w:t>
      </w:r>
      <w:r>
        <w:rPr>
          <w:rFonts w:asciiTheme="majorEastAsia" w:eastAsiaTheme="majorEastAsia" w:hAnsiTheme="majorEastAsia"/>
          <w:sz w:val="20"/>
          <w:szCs w:val="20"/>
        </w:rPr>
        <w:t xml:space="preserve"> 금융소비자의 권익증진을 위해 필요하다고 판단되는 업무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5"/>
        </w:numPr>
        <w:spacing w:line="276" w:lineRule="auto"/>
        <w:textAlignment w:val="bottom"/>
        <w:rPr>
          <w:rFonts w:asciiTheme="majorEastAsia" w:eastAsiaTheme="majorEastAsia" w:hAnsiTheme="majorEastAsia"/>
          <w:strike/>
          <w:color w:val="FF0000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금융소비자보호 총괄책임자는 제2항의 업무 내용을 매년 </w:t>
      </w:r>
      <w:r>
        <w:rPr>
          <w:rFonts w:asciiTheme="majorEastAsia" w:eastAsiaTheme="majorEastAsia" w:hAnsiTheme="majorEastAsia"/>
          <w:sz w:val="20"/>
          <w:szCs w:val="20"/>
        </w:rPr>
        <w:t>1</w:t>
      </w:r>
      <w:r>
        <w:rPr>
          <w:rFonts w:asciiTheme="majorEastAsia" w:eastAsiaTheme="majorEastAsia" w:hAnsiTheme="majorEastAsia"/>
          <w:sz w:val="20"/>
          <w:szCs w:val="20"/>
        </w:rPr>
        <w:t xml:space="preserve">회 </w:t>
      </w:r>
      <w:r>
        <w:rPr>
          <w:rFonts w:asciiTheme="majorEastAsia" w:eastAsiaTheme="majorEastAsia" w:hAnsiTheme="majorEastAsia"/>
          <w:sz w:val="20"/>
          <w:szCs w:val="20"/>
        </w:rPr>
        <w:t>대표이사</w:t>
      </w:r>
      <w:r>
        <w:rPr>
          <w:rFonts w:asciiTheme="majorEastAsia" w:eastAsiaTheme="majorEastAsia" w:hAnsiTheme="majorEastAsia"/>
          <w:sz w:val="20"/>
          <w:szCs w:val="20"/>
        </w:rPr>
        <w:t>에</w:t>
      </w:r>
      <w:r>
        <w:rPr>
          <w:rFonts w:asciiTheme="majorEastAsia" w:eastAsiaTheme="majorEastAsia" w:hAnsiTheme="majorEastAsia"/>
          <w:sz w:val="20"/>
          <w:szCs w:val="20"/>
        </w:rPr>
        <w:t>게</w:t>
      </w:r>
      <w:r>
        <w:rPr>
          <w:rFonts w:asciiTheme="majorEastAsia" w:eastAsiaTheme="majorEastAsia" w:hAnsiTheme="majorEastAsia"/>
          <w:sz w:val="20"/>
          <w:szCs w:val="20"/>
        </w:rPr>
        <w:t xml:space="preserve"> 보고하여야 한다.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5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회사는</w:t>
      </w:r>
      <w:r>
        <w:rPr>
          <w:rFonts w:asciiTheme="majorEastAsia" w:eastAsiaTheme="majorEastAsia" w:hAnsiTheme="majorEastAsia"/>
          <w:sz w:val="20"/>
          <w:szCs w:val="20"/>
        </w:rPr>
        <w:t xml:space="preserve"> 금융소비자보호 총괄책임자의 인사 및 평가에 있어서 회사의 재무적 경영성과와 연동하지 아니하는 별도의 공정한 업무평가 기준 및 급여지급 기준을 마련하여 운영하여야 하며, 민원발생건수 및 금융소비자보호 실태평가 결과 등은 금융소비자보호 총괄책임자의 급여 등 보상에 연계해서는 아니 된다.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5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금융소비자보호</w:t>
      </w:r>
      <w:r>
        <w:rPr>
          <w:rFonts w:asciiTheme="majorEastAsia" w:eastAsiaTheme="majorEastAsia" w:hAnsiTheme="majorEastAsia"/>
          <w:sz w:val="20"/>
          <w:szCs w:val="20"/>
        </w:rPr>
        <w:t xml:space="preserve"> 총괄책임자는 민원의 발생 또는 예방을 포함하여 각 부서 및 회사의 임직원이 업무를 수행함에 있어서 금융소비자보호에 충실하였는지를 조직 및 개인 성과평가에 반영하는 평가도구를 마련하여야 하고 그 평가 비중은 성과평가에 실질적인 영향을 줄 정도여야 한다.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jc w:val="center"/>
        <w:spacing w:line="276" w:lineRule="auto"/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5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장 금융소비자보호기준의 준수 여부에 대한 점검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sym w:font="Wingdings" w:char="F0A0"/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조치 및 평가</w:t>
      </w:r>
    </w:p>
    <w:p>
      <w:pPr>
        <w:spacing w:line="276" w:lineRule="auto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 </w:t>
      </w:r>
    </w:p>
    <w:p>
      <w:pPr>
        <w:snapToGrid w:val="0"/>
        <w:spacing w:line="276" w:lineRule="auto"/>
        <w:textAlignment w:val="bottom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/>
          <w:b/>
          <w:sz w:val="20"/>
          <w:szCs w:val="20"/>
        </w:rPr>
        <w:t>제</w:t>
      </w:r>
      <w:r>
        <w:rPr>
          <w:rFonts w:asciiTheme="majorEastAsia" w:eastAsiaTheme="majorEastAsia" w:hAnsiTheme="majorEastAsia"/>
          <w:b/>
          <w:sz w:val="20"/>
          <w:szCs w:val="20"/>
        </w:rPr>
        <w:t>1</w:t>
      </w:r>
      <w:r>
        <w:rPr>
          <w:rFonts w:asciiTheme="majorEastAsia" w:eastAsiaTheme="majorEastAsia" w:hAnsiTheme="majorEastAsia"/>
          <w:b/>
          <w:sz w:val="20"/>
          <w:szCs w:val="20"/>
        </w:rPr>
        <w:t>5</w:t>
      </w:r>
      <w:r>
        <w:rPr>
          <w:rFonts w:asciiTheme="majorEastAsia" w:eastAsiaTheme="majorEastAsia" w:hAnsiTheme="majorEastAsia"/>
          <w:b/>
          <w:sz w:val="20"/>
          <w:szCs w:val="20"/>
        </w:rPr>
        <w:t>조(금융소비자보호</w:t>
      </w:r>
      <w:r>
        <w:rPr>
          <w:rFonts w:asciiTheme="majorEastAsia" w:eastAsiaTheme="majorEastAsia" w:hAnsiTheme="majorEastAsia"/>
          <w:b/>
          <w:sz w:val="20"/>
          <w:szCs w:val="20"/>
        </w:rPr>
        <w:t xml:space="preserve">기준 </w:t>
      </w:r>
      <w:r>
        <w:rPr>
          <w:rFonts w:asciiTheme="majorEastAsia" w:eastAsiaTheme="majorEastAsia" w:hAnsiTheme="majorEastAsia"/>
          <w:b/>
          <w:sz w:val="20"/>
          <w:szCs w:val="20"/>
        </w:rPr>
        <w:t xml:space="preserve">준수 여부에 대한 점검 </w:t>
      </w:r>
      <w:r>
        <w:rPr>
          <w:rFonts w:asciiTheme="majorEastAsia" w:eastAsiaTheme="majorEastAsia" w:hAnsiTheme="majorEastAsia"/>
          <w:b/>
          <w:sz w:val="20"/>
          <w:szCs w:val="20"/>
        </w:rPr>
        <w:t>등</w:t>
      </w:r>
      <w:r>
        <w:rPr>
          <w:rFonts w:asciiTheme="majorEastAsia" w:eastAsiaTheme="majorEastAsia" w:hAnsiTheme="majorEastAsia"/>
          <w:b/>
          <w:sz w:val="20"/>
          <w:szCs w:val="20"/>
        </w:rPr>
        <w:t>)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8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금융소비자보호 총괄기관은 임직원등의 금융상품 판매 관련 업무가 </w:t>
      </w:r>
      <w:r>
        <w:rPr>
          <w:rFonts w:asciiTheme="majorEastAsia" w:eastAsiaTheme="majorEastAsia" w:hAnsiTheme="majorEastAsia"/>
          <w:sz w:val="20"/>
          <w:szCs w:val="20"/>
        </w:rPr>
        <w:t>금융소비자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보호기준,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금융소비자보호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내부통제기준</w:t>
      </w:r>
      <w:r>
        <w:rPr>
          <w:rFonts w:asciiTheme="majorEastAsia" w:eastAsiaTheme="majorEastAsia" w:hAnsiTheme="majorEastAsia"/>
          <w:sz w:val="20"/>
          <w:szCs w:val="20"/>
        </w:rPr>
        <w:t xml:space="preserve"> 및 금융소비자보호</w:t>
      </w:r>
      <w:r>
        <w:rPr>
          <w:rFonts w:asciiTheme="majorEastAsia" w:eastAsiaTheme="majorEastAsia" w:hAnsiTheme="majorEastAsia"/>
          <w:sz w:val="20"/>
          <w:szCs w:val="20"/>
        </w:rPr>
        <w:t>법규를</w:t>
      </w:r>
      <w:r>
        <w:rPr>
          <w:rFonts w:asciiTheme="majorEastAsia" w:eastAsiaTheme="majorEastAsia" w:hAnsiTheme="majorEastAsia"/>
          <w:sz w:val="20"/>
          <w:szCs w:val="20"/>
        </w:rPr>
        <w:t xml:space="preserve"> 충실히 준수하고 있는지 여부를 업무의 중요도 및 위험도 등을 감안하여 매년 </w:t>
      </w:r>
      <w:r>
        <w:rPr>
          <w:rFonts w:asciiTheme="majorEastAsia" w:eastAsiaTheme="majorEastAsia" w:hAnsiTheme="majorEastAsia"/>
          <w:sz w:val="20"/>
          <w:szCs w:val="20"/>
        </w:rPr>
        <w:t>1</w:t>
      </w:r>
      <w:r>
        <w:rPr>
          <w:rFonts w:asciiTheme="majorEastAsia" w:eastAsiaTheme="majorEastAsia" w:hAnsiTheme="majorEastAsia"/>
          <w:sz w:val="20"/>
          <w:szCs w:val="20"/>
        </w:rPr>
        <w:t>회 이상 평가한다.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8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금융소비자보호 총괄책임자는 위법위규행위 사실이 확인되는 경우 다음 각호의 점검사항을 포함하여 </w:t>
      </w:r>
      <w:r>
        <w:rPr>
          <w:rFonts w:asciiTheme="majorEastAsia" w:eastAsiaTheme="majorEastAsia" w:hAnsiTheme="majorEastAsia"/>
          <w:sz w:val="20"/>
          <w:szCs w:val="20"/>
        </w:rPr>
        <w:t>대표이사</w:t>
      </w:r>
      <w:r>
        <w:rPr>
          <w:rFonts w:asciiTheme="majorEastAsia" w:eastAsiaTheme="majorEastAsia" w:hAnsiTheme="majorEastAsia"/>
          <w:sz w:val="20"/>
          <w:szCs w:val="20"/>
        </w:rPr>
        <w:t>에</w:t>
      </w:r>
      <w:r>
        <w:rPr>
          <w:rFonts w:asciiTheme="majorEastAsia" w:eastAsiaTheme="majorEastAsia" w:hAnsiTheme="majorEastAsia"/>
          <w:sz w:val="20"/>
          <w:szCs w:val="20"/>
        </w:rPr>
        <w:t>게</w:t>
      </w:r>
      <w:r>
        <w:rPr>
          <w:rFonts w:asciiTheme="majorEastAsia" w:eastAsiaTheme="majorEastAsia" w:hAnsiTheme="majorEastAsia"/>
          <w:sz w:val="20"/>
          <w:szCs w:val="20"/>
        </w:rPr>
        <w:t xml:space="preserve"> 보고하고, 금융소비자의 피해회복을 위한 조치와 위법위규행위의 재발을 방지하기 위한 조치를 건의하여야 한다.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9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금융소비자의 피해현황 및 회복가능성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9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위법위규행위의 중대성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9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위법위규행위의 고의성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19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위법위규행위의 반복성(해당 부서를 기준으로 한다)</w:t>
      </w:r>
    </w:p>
    <w:p>
      <w:pPr>
        <w:autoSpaceDE w:val="off"/>
        <w:autoSpaceDN w:val="off"/>
        <w:widowControl w:val="off"/>
        <w:snapToGrid w:val="0"/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</w:p>
    <w:p>
      <w:pPr>
        <w:autoSpaceDE w:val="off"/>
        <w:autoSpaceDN w:val="off"/>
        <w:widowControl w:val="off"/>
        <w:snapToGrid w:val="0"/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</w:p>
    <w:p>
      <w:pPr>
        <w:snapToGrid w:val="0"/>
        <w:spacing w:line="276" w:lineRule="auto"/>
        <w:textAlignment w:val="bottom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/>
          <w:b/>
          <w:sz w:val="20"/>
          <w:szCs w:val="20"/>
        </w:rPr>
        <w:t>제</w:t>
      </w:r>
      <w:r>
        <w:rPr>
          <w:rFonts w:asciiTheme="majorEastAsia" w:eastAsiaTheme="majorEastAsia" w:hAnsiTheme="majorEastAsia"/>
          <w:b/>
          <w:sz w:val="20"/>
          <w:szCs w:val="20"/>
        </w:rPr>
        <w:t>1</w:t>
      </w:r>
      <w:r>
        <w:rPr>
          <w:rFonts w:asciiTheme="majorEastAsia" w:eastAsiaTheme="majorEastAsia" w:hAnsiTheme="majorEastAsia"/>
          <w:b/>
          <w:sz w:val="20"/>
          <w:szCs w:val="20"/>
        </w:rPr>
        <w:t>6</w:t>
      </w:r>
      <w:r>
        <w:rPr>
          <w:rFonts w:asciiTheme="majorEastAsia" w:eastAsiaTheme="majorEastAsia" w:hAnsiTheme="majorEastAsia"/>
          <w:b/>
          <w:sz w:val="20"/>
          <w:szCs w:val="20"/>
        </w:rPr>
        <w:t>조(금융소비자보호기준 등 위반시 처리)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0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금융소비자보호 총괄기관은 </w:t>
      </w:r>
      <w:r>
        <w:rPr>
          <w:rFonts w:asciiTheme="majorEastAsia" w:eastAsiaTheme="majorEastAsia" w:hAnsiTheme="majorEastAsia"/>
          <w:sz w:val="20"/>
          <w:szCs w:val="20"/>
        </w:rPr>
        <w:t>법,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시행령,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감독규정,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금융소비자보호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 xml:space="preserve">내부통제기준 및 </w:t>
      </w:r>
      <w:r>
        <w:rPr>
          <w:rFonts w:asciiTheme="majorEastAsia" w:eastAsiaTheme="majorEastAsia" w:hAnsiTheme="majorEastAsia"/>
          <w:sz w:val="20"/>
          <w:szCs w:val="20"/>
        </w:rPr>
        <w:t>이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기준 위반사항에 대해 관련 부서에 시정 또는 개선을 요구하거나 검사를 요구할 수 있으며 징계 등 필요한 인사조치를 요구할 수 있다.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이 경우 해당 부서장은 특별한 사정이 없는 한 요구에 응하여야 한다.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0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금융소비자보호 총괄기관은 금융소비자보호와 관련하여 중대한 위법</w:t>
      </w:r>
      <w:r>
        <w:rPr>
          <w:rFonts w:asciiTheme="majorEastAsia" w:eastAsiaTheme="majorEastAsia" w:hAnsiTheme="majorEastAsia"/>
          <w:sz w:val="20"/>
          <w:szCs w:val="20"/>
        </w:rPr>
        <w:sym w:font="Wingdings" w:char="F0A0"/>
      </w:r>
      <w:r>
        <w:rPr>
          <w:rFonts w:asciiTheme="majorEastAsia" w:eastAsiaTheme="majorEastAsia" w:hAnsiTheme="majorEastAsia"/>
          <w:sz w:val="20"/>
          <w:szCs w:val="20"/>
        </w:rPr>
        <w:t>부당행위가 발견되는 경우 감사위원회에 보고할 수 있다.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jc w:val="center"/>
        <w:spacing w:line="276" w:lineRule="auto"/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6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장 민원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sym w:font="Wingdings" w:char="F0A0"/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분쟁 대응 관련 교육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sym w:font="Wingdings" w:char="F0A0"/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훈련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 </w:t>
      </w: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1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7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조(임직원 교육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sym w:font="Wingdings" w:char="F0A0"/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훈련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 xml:space="preserve"> 등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)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1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금융소비자보호 </w:t>
      </w:r>
      <w:r>
        <w:rPr>
          <w:rFonts w:asciiTheme="majorEastAsia" w:eastAsiaTheme="majorEastAsia" w:hAnsiTheme="majorEastAsia"/>
          <w:sz w:val="20"/>
          <w:szCs w:val="20"/>
        </w:rPr>
        <w:t>총괄기관은</w:t>
      </w:r>
      <w:r>
        <w:rPr>
          <w:rFonts w:asciiTheme="majorEastAsia" w:eastAsiaTheme="majorEastAsia" w:hAnsiTheme="majorEastAsia"/>
          <w:sz w:val="20"/>
          <w:szCs w:val="20"/>
        </w:rPr>
        <w:t xml:space="preserve"> 민원</w:t>
      </w:r>
      <w:r>
        <w:rPr>
          <w:rFonts w:asciiTheme="majorEastAsia" w:eastAsiaTheme="majorEastAsia" w:hAnsiTheme="majorEastAsia"/>
          <w:sz w:val="20"/>
          <w:szCs w:val="20"/>
        </w:rPr>
        <w:sym w:font="Wingdings" w:char="F0A0"/>
      </w:r>
      <w:r>
        <w:rPr>
          <w:rFonts w:asciiTheme="majorEastAsia" w:eastAsiaTheme="majorEastAsia" w:hAnsiTheme="majorEastAsia"/>
          <w:sz w:val="20"/>
          <w:szCs w:val="20"/>
        </w:rPr>
        <w:t>분쟁</w:t>
      </w:r>
      <w:r>
        <w:rPr>
          <w:rFonts w:asciiTheme="majorEastAsia" w:eastAsiaTheme="majorEastAsia" w:hAnsiTheme="majorEastAsia"/>
          <w:sz w:val="20"/>
          <w:szCs w:val="20"/>
        </w:rPr>
        <w:t xml:space="preserve"> 대응과 관련하여 </w:t>
      </w:r>
      <w:r>
        <w:rPr>
          <w:rFonts w:asciiTheme="majorEastAsia" w:eastAsiaTheme="majorEastAsia" w:hAnsiTheme="majorEastAsia"/>
          <w:sz w:val="20"/>
          <w:szCs w:val="20"/>
        </w:rPr>
        <w:t xml:space="preserve">금융상품 </w:t>
      </w:r>
      <w:r>
        <w:rPr>
          <w:rFonts w:asciiTheme="majorEastAsia" w:eastAsiaTheme="majorEastAsia" w:hAnsiTheme="majorEastAsia"/>
          <w:sz w:val="20"/>
          <w:szCs w:val="20"/>
        </w:rPr>
        <w:t>판매와</w:t>
      </w:r>
      <w:r>
        <w:rPr>
          <w:rFonts w:asciiTheme="majorEastAsia" w:eastAsiaTheme="majorEastAsia" w:hAnsiTheme="majorEastAsia"/>
          <w:sz w:val="20"/>
          <w:szCs w:val="20"/>
        </w:rPr>
        <w:t xml:space="preserve"> 관련있는 업무를 수행하는  </w:t>
      </w:r>
      <w:r>
        <w:rPr>
          <w:rFonts w:asciiTheme="majorEastAsia" w:eastAsiaTheme="majorEastAsia" w:hAnsiTheme="majorEastAsia"/>
          <w:sz w:val="20"/>
          <w:szCs w:val="20"/>
        </w:rPr>
        <w:t xml:space="preserve">임직원을 대상으로 </w:t>
      </w:r>
      <w:r>
        <w:rPr>
          <w:rFonts w:asciiTheme="majorEastAsia" w:eastAsiaTheme="majorEastAsia" w:hAnsiTheme="majorEastAsia"/>
          <w:sz w:val="20"/>
          <w:szCs w:val="20"/>
        </w:rPr>
        <w:t>이</w:t>
      </w:r>
      <w:r>
        <w:rPr>
          <w:rFonts w:asciiTheme="majorEastAsia" w:eastAsiaTheme="majorEastAsia" w:hAnsiTheme="majorEastAsia"/>
          <w:sz w:val="20"/>
          <w:szCs w:val="20"/>
        </w:rPr>
        <w:t xml:space="preserve"> 기준에서 정하는 민원</w:t>
      </w:r>
      <w:r>
        <w:rPr>
          <w:rFonts w:asciiTheme="majorEastAsia" w:eastAsiaTheme="majorEastAsia" w:hAnsiTheme="majorEastAsia"/>
          <w:sz w:val="20"/>
          <w:szCs w:val="20"/>
        </w:rPr>
        <w:sym w:font="Wingdings" w:char="F0A0"/>
      </w:r>
      <w:r>
        <w:rPr>
          <w:rFonts w:asciiTheme="majorEastAsia" w:eastAsiaTheme="majorEastAsia" w:hAnsiTheme="majorEastAsia"/>
          <w:sz w:val="20"/>
          <w:szCs w:val="20"/>
        </w:rPr>
        <w:t>분쟁 발생시 업무처리 절차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 xml:space="preserve">및 </w:t>
      </w:r>
      <w:r>
        <w:rPr>
          <w:rFonts w:asciiTheme="majorEastAsia" w:eastAsiaTheme="majorEastAsia" w:hAnsiTheme="majorEastAsia"/>
          <w:sz w:val="20"/>
          <w:szCs w:val="20"/>
        </w:rPr>
        <w:t>전산처리시스템 활용에</w:t>
      </w:r>
      <w:r>
        <w:rPr>
          <w:rFonts w:asciiTheme="majorEastAsia" w:eastAsiaTheme="majorEastAsia" w:hAnsiTheme="majorEastAsia"/>
          <w:sz w:val="20"/>
          <w:szCs w:val="20"/>
        </w:rPr>
        <w:t xml:space="preserve"> 대한 교육 과정을 </w:t>
      </w:r>
      <w:r>
        <w:rPr>
          <w:rFonts w:asciiTheme="majorEastAsia" w:eastAsiaTheme="majorEastAsia" w:hAnsiTheme="majorEastAsia"/>
          <w:sz w:val="20"/>
          <w:szCs w:val="20"/>
        </w:rPr>
        <w:t xml:space="preserve">매년 </w:t>
      </w:r>
      <w:r>
        <w:rPr>
          <w:rFonts w:asciiTheme="majorEastAsia" w:eastAsiaTheme="majorEastAsia" w:hAnsiTheme="majorEastAsia"/>
          <w:sz w:val="20"/>
          <w:szCs w:val="20"/>
        </w:rPr>
        <w:t>1</w:t>
      </w:r>
      <w:r>
        <w:rPr>
          <w:rFonts w:asciiTheme="majorEastAsia" w:eastAsiaTheme="majorEastAsia" w:hAnsiTheme="majorEastAsia"/>
          <w:sz w:val="20"/>
          <w:szCs w:val="20"/>
        </w:rPr>
        <w:t xml:space="preserve">회 이상 </w:t>
      </w:r>
      <w:r>
        <w:rPr>
          <w:rFonts w:asciiTheme="majorEastAsia" w:eastAsiaTheme="majorEastAsia" w:hAnsiTheme="majorEastAsia"/>
          <w:sz w:val="20"/>
          <w:szCs w:val="20"/>
        </w:rPr>
        <w:t xml:space="preserve">진행하고, </w:t>
      </w:r>
      <w:r>
        <w:rPr>
          <w:rFonts w:asciiTheme="majorEastAsia" w:eastAsiaTheme="majorEastAsia" w:hAnsiTheme="majorEastAsia"/>
          <w:sz w:val="20"/>
          <w:szCs w:val="20"/>
        </w:rPr>
        <w:t xml:space="preserve">필요한 경우 </w:t>
      </w:r>
      <w:r>
        <w:rPr>
          <w:rFonts w:asciiTheme="majorEastAsia" w:eastAsiaTheme="majorEastAsia" w:hAnsiTheme="majorEastAsia"/>
          <w:sz w:val="20"/>
          <w:szCs w:val="20"/>
        </w:rPr>
        <w:t>보수교육을 실시한다.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1"/>
        </w:numPr>
        <w:spacing w:line="276" w:lineRule="auto"/>
        <w:textAlignment w:val="bottom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금융소비자보호 </w:t>
      </w:r>
      <w:r>
        <w:rPr>
          <w:rFonts w:asciiTheme="majorEastAsia" w:eastAsiaTheme="majorEastAsia" w:hAnsiTheme="majorEastAsia"/>
          <w:sz w:val="20"/>
          <w:szCs w:val="20"/>
        </w:rPr>
        <w:t>총괄기관은</w:t>
      </w:r>
      <w:r>
        <w:rPr>
          <w:rFonts w:asciiTheme="majorEastAsia" w:eastAsiaTheme="majorEastAsia" w:hAnsiTheme="majorEastAsia"/>
          <w:sz w:val="20"/>
          <w:szCs w:val="20"/>
        </w:rPr>
        <w:t xml:space="preserve"> 과거 민원 이력, 금융감독원 검사 및 현장점검 사례 등을 감안하여 임직원 중 </w:t>
      </w:r>
      <w:r>
        <w:rPr>
          <w:rFonts w:asciiTheme="majorEastAsia" w:eastAsiaTheme="majorEastAsia" w:hAnsiTheme="majorEastAsia"/>
          <w:sz w:val="20"/>
          <w:szCs w:val="20"/>
        </w:rPr>
        <w:t>위법부당행위</w:t>
      </w:r>
      <w:r>
        <w:rPr>
          <w:rFonts w:asciiTheme="majorEastAsia" w:eastAsiaTheme="majorEastAsia" w:hAnsiTheme="majorEastAsia"/>
          <w:sz w:val="20"/>
          <w:szCs w:val="20"/>
        </w:rPr>
        <w:t xml:space="preserve"> 유발 임직원을 지정ㆍ관리할 수 있으며, 동 임직원에 대해서는 </w:t>
      </w:r>
      <w:r>
        <w:rPr>
          <w:rFonts w:asciiTheme="majorEastAsia" w:eastAsiaTheme="majorEastAsia" w:hAnsiTheme="majorEastAsia"/>
          <w:sz w:val="20"/>
          <w:szCs w:val="20"/>
        </w:rPr>
        <w:t>위법부당행위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예방 교육을 직접 실시하거나 관련 부서에 실시를 요청하여야 한다.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1"/>
        </w:numPr>
        <w:spacing w:line="276" w:lineRule="auto"/>
        <w:textAlignment w:val="bottom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금융소비자보호 총괄기관은 교육과정의</w:t>
      </w:r>
      <w:r>
        <w:rPr>
          <w:rFonts w:asciiTheme="majorEastAsia" w:eastAsiaTheme="majorEastAsia" w:hAnsiTheme="majorEastAsia"/>
          <w:sz w:val="20"/>
          <w:szCs w:val="20"/>
        </w:rPr>
        <w:t xml:space="preserve"> 참석 상황, 참여율, 내용, 자체 만족도, 민원관련 교육효과 등을 분석하여 기록 및 보관하고, 교육훈련 프로그램에 반영하여야 한다.</w:t>
      </w:r>
    </w:p>
    <w:p>
      <w:pPr>
        <w:ind w:left="120"/>
        <w:snapToGrid w:val="0"/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④ </w:t>
      </w:r>
      <w:r>
        <w:rPr>
          <w:rFonts w:asciiTheme="majorEastAsia" w:eastAsiaTheme="majorEastAsia" w:hAnsiTheme="majorEastAsia"/>
          <w:sz w:val="20"/>
          <w:szCs w:val="20"/>
        </w:rPr>
        <w:t>위원회는 금융소비자보호 총괄책임자가 추천한 금융소비자보호 우수직원 또는 우수부서의 내용을 심의하여 해당 직원 또는 부서에 표창, 특별휴가 등의 조치를 할 수 있다</w:t>
      </w:r>
    </w:p>
    <w:p>
      <w:pPr>
        <w:ind w:left="120"/>
        <w:snapToGrid w:val="0"/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</w:p>
    <w:p>
      <w:pPr>
        <w:jc w:val="center"/>
        <w:spacing w:line="276" w:lineRule="auto"/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7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 xml:space="preserve">장 금융소비자의 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권리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행사에 대한 대응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1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8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조(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담당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부서)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2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금융소비자의 권리행사에 대한 대응은 금융소비자보호 총괄기관이 담당한다.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2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금융소비자보호 총괄기관은 </w:t>
      </w:r>
      <w:r>
        <w:rPr>
          <w:rFonts w:asciiTheme="majorEastAsia" w:eastAsiaTheme="majorEastAsia" w:hAnsiTheme="majorEastAsia"/>
          <w:sz w:val="20"/>
          <w:szCs w:val="20"/>
        </w:rPr>
        <w:t xml:space="preserve">금융소비자의 권리행사에 대응하기 위하여 다른 부서에 협조를 요청할 수 있고 </w:t>
      </w:r>
      <w:r>
        <w:rPr>
          <w:rFonts w:asciiTheme="majorEastAsia" w:eastAsiaTheme="majorEastAsia" w:hAnsiTheme="majorEastAsia"/>
          <w:sz w:val="20"/>
          <w:szCs w:val="20"/>
        </w:rPr>
        <w:t>해당 부서는 특별한 사정이 없는 한 협조하여야 한다.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1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9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조(자료열람 요구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권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에 관한 기준 및 절차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)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3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금융소비자는 분쟁조정 또는 소송의 수행 등 권리구제를 위한 목적으로 회사가 기록 및 유지ㆍ관리하는 다음 자료의 열람(사본의 제공 또는 청취를 포함)을 요구할 수 있다.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4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계약체결에 관한 자료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4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계약의 이행에 관한 자료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4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금융상품등에 관한 광고 자료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4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금융소비자의 권리 행사에 관한 다음의 자료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5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금융소비자의 자료 열람 연기ㆍ제한 및 거절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5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청약의 철회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5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위법계약의 해지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4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금융소비자보호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내부통제기준의 제정 및 운영 등에 관한 자료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4"/>
        </w:numPr>
        <w:spacing w:line="276" w:lineRule="auto"/>
        <w:textAlignment w:val="bottom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/>
          <w:sz w:val="20"/>
          <w:szCs w:val="20"/>
        </w:rPr>
        <w:t>업무 위탁에 관한 자료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3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금융소비자의 자료열람 요구를 받은 부서는 자료열람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요구의 목적 및 열람을 요구하는 자료의 범위를 확인하여 즉시 금융소비자보호 총괄기관에 통지하여야 한다.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3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금융소비자보호 총괄기관은 다른 부서에 금융소비자가 요구한 자료를 제출할 것을 요구할 수 있다.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3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금융소비자보호 총괄기관은 금융소비자가 자료열람 요구의 목적 및 열람을 요구하는 자료의 범위를 특정하여 자료열람 요구를 한 날로부터 </w:t>
      </w:r>
      <w:r>
        <w:rPr>
          <w:rFonts w:asciiTheme="majorEastAsia" w:eastAsiaTheme="majorEastAsia" w:hAnsiTheme="majorEastAsia"/>
          <w:sz w:val="20"/>
          <w:szCs w:val="20"/>
        </w:rPr>
        <w:t>8</w:t>
      </w:r>
      <w:r>
        <w:rPr>
          <w:rFonts w:asciiTheme="majorEastAsia" w:eastAsiaTheme="majorEastAsia" w:hAnsiTheme="majorEastAsia"/>
          <w:sz w:val="20"/>
          <w:szCs w:val="20"/>
        </w:rPr>
        <w:t>일 이내에 해당 금융소비자에게 자료를 열람할 수 있게 하거나, 해당 자료열람 요구를 접수한 부서로 하여금 금융소비자에게 자료를 열람하도록 하여야 한다.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단,</w:t>
      </w:r>
      <w:r>
        <w:rPr>
          <w:rFonts w:asciiTheme="majorEastAsia" w:eastAsiaTheme="majorEastAsia" w:hAnsiTheme="majorEastAsia"/>
          <w:sz w:val="20"/>
          <w:szCs w:val="20"/>
        </w:rPr>
        <w:t xml:space="preserve"> 8</w:t>
      </w:r>
      <w:r>
        <w:rPr>
          <w:rFonts w:asciiTheme="majorEastAsia" w:eastAsiaTheme="majorEastAsia" w:hAnsiTheme="majorEastAsia"/>
          <w:sz w:val="20"/>
          <w:szCs w:val="20"/>
        </w:rPr>
        <w:t>일 이내에 열람할 수 있게 하기 어려운 사정이 있는 경우에는 그 사유를 알리고 열람을 연기할 수 있으며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그 사유가 소멸하면 지체없이 열람하게 하여야 한다.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20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조(일반금융소비자의 청약철회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권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에 관한 기준과 절차)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6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회사는</w:t>
      </w:r>
      <w:r>
        <w:rPr>
          <w:rFonts w:asciiTheme="majorEastAsia" w:eastAsiaTheme="majorEastAsia" w:hAnsiTheme="majorEastAsia"/>
          <w:sz w:val="20"/>
          <w:szCs w:val="20"/>
        </w:rPr>
        <w:t xml:space="preserve"> 일반금융소비자가 다음 각호의 어느 하나에 해당하는 날로부터 </w:t>
      </w:r>
      <w:r>
        <w:rPr>
          <w:rFonts w:asciiTheme="majorEastAsia" w:eastAsiaTheme="majorEastAsia" w:hAnsiTheme="majorEastAsia"/>
          <w:sz w:val="20"/>
          <w:szCs w:val="20"/>
        </w:rPr>
        <w:t>7</w:t>
      </w:r>
      <w:r>
        <w:rPr>
          <w:rFonts w:asciiTheme="majorEastAsia" w:eastAsiaTheme="majorEastAsia" w:hAnsiTheme="majorEastAsia"/>
          <w:sz w:val="20"/>
          <w:szCs w:val="20"/>
        </w:rPr>
        <w:t>일(회사와 일반금융소비자 사이에 해당 기간보다 긴 기간으로 약정한 경우에는 그 기간)내에 서면등(</w:t>
      </w:r>
      <w:r>
        <w:rPr>
          <w:rFonts w:asciiTheme="majorEastAsia" w:eastAsiaTheme="majorEastAsia" w:hAnsiTheme="majorEastAsia"/>
          <w:sz w:val="20"/>
          <w:szCs w:val="20"/>
        </w:rPr>
        <w:t>서면,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전자우편,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 xml:space="preserve">휴대전화 문자메세지 </w:t>
      </w:r>
      <w:r>
        <w:rPr>
          <w:rFonts w:asciiTheme="majorEastAsia" w:eastAsiaTheme="majorEastAsia" w:hAnsiTheme="majorEastAsia"/>
          <w:sz w:val="20"/>
          <w:szCs w:val="20"/>
        </w:rPr>
        <w:t xml:space="preserve">또는 이에 준하는 전자적 </w:t>
      </w:r>
      <w:r>
        <w:rPr>
          <w:rFonts w:asciiTheme="majorEastAsia" w:eastAsiaTheme="majorEastAsia" w:hAnsiTheme="majorEastAsia"/>
          <w:sz w:val="20"/>
          <w:szCs w:val="20"/>
        </w:rPr>
        <w:t>방법을 말한다)의 방법으로 청약 철회의 의사를 표시하는 경우, 제2항에서 정하는 사유가 없는 한 이를 수락하는 의사표시를 하여야 한다.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7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계약서류를 제공한 날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7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계약체결일(</w:t>
      </w:r>
      <w:r>
        <w:rPr>
          <w:rFonts w:asciiTheme="majorEastAsia" w:eastAsiaTheme="majorEastAsia" w:hAnsiTheme="majorEastAsia"/>
          <w:sz w:val="20"/>
          <w:szCs w:val="20"/>
        </w:rPr>
        <w:t>법 제2</w:t>
      </w:r>
      <w:r>
        <w:rPr>
          <w:rFonts w:asciiTheme="majorEastAsia" w:eastAsiaTheme="majorEastAsia" w:hAnsiTheme="majorEastAsia"/>
          <w:sz w:val="20"/>
          <w:szCs w:val="20"/>
        </w:rPr>
        <w:t>3</w:t>
      </w:r>
      <w:r>
        <w:rPr>
          <w:rFonts w:asciiTheme="majorEastAsia" w:eastAsiaTheme="majorEastAsia" w:hAnsiTheme="majorEastAsia"/>
          <w:sz w:val="20"/>
          <w:szCs w:val="20"/>
        </w:rPr>
        <w:t>조 제1항 단서</w:t>
      </w:r>
      <w:r>
        <w:rPr>
          <w:rFonts w:asciiTheme="majorEastAsia" w:eastAsiaTheme="majorEastAsia" w:hAnsiTheme="majorEastAsia"/>
          <w:sz w:val="20"/>
          <w:szCs w:val="20"/>
        </w:rPr>
        <w:t>에 따라 계약서류를 제공하지 아니한</w:t>
      </w:r>
      <w:r>
        <w:rPr>
          <w:rFonts w:asciiTheme="majorEastAsia" w:eastAsiaTheme="majorEastAsia" w:hAnsiTheme="majorEastAsia"/>
          <w:sz w:val="20"/>
          <w:szCs w:val="20"/>
        </w:rPr>
        <w:t xml:space="preserve"> 경우</w:t>
      </w:r>
      <w:r>
        <w:rPr>
          <w:rFonts w:asciiTheme="majorEastAsia" w:eastAsiaTheme="majorEastAsia" w:hAnsiTheme="majorEastAsia"/>
          <w:sz w:val="20"/>
          <w:szCs w:val="20"/>
        </w:rPr>
        <w:t>)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6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회사가 </w:t>
      </w:r>
      <w:r>
        <w:rPr>
          <w:rFonts w:asciiTheme="majorEastAsia" w:eastAsiaTheme="majorEastAsia" w:hAnsiTheme="majorEastAsia"/>
          <w:sz w:val="20"/>
          <w:szCs w:val="20"/>
        </w:rPr>
        <w:t>청약의 철회를 거절할 수 있</w:t>
      </w:r>
      <w:r>
        <w:rPr>
          <w:rFonts w:asciiTheme="majorEastAsia" w:eastAsiaTheme="majorEastAsia" w:hAnsiTheme="majorEastAsia"/>
          <w:sz w:val="20"/>
          <w:szCs w:val="20"/>
        </w:rPr>
        <w:t xml:space="preserve">는 사유는 </w:t>
      </w:r>
      <w:r>
        <w:rPr>
          <w:rFonts w:asciiTheme="majorEastAsia" w:eastAsiaTheme="majorEastAsia" w:hAnsiTheme="majorEastAsia"/>
          <w:sz w:val="20"/>
          <w:szCs w:val="20"/>
        </w:rPr>
        <w:t xml:space="preserve">다음 </w:t>
      </w:r>
      <w:r>
        <w:rPr>
          <w:rFonts w:asciiTheme="majorEastAsia" w:eastAsiaTheme="majorEastAsia" w:hAnsiTheme="majorEastAsia"/>
          <w:sz w:val="20"/>
          <w:szCs w:val="20"/>
        </w:rPr>
        <w:t>각호와 같다.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8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일반금융소비자가 제1항의 행사 기간을 도과하여 의사표시를 한 경우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8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금융상품이 법,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시행령,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감독규정 등에 따라 청약철회가 가능한 금융상품이 아닌 경우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8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일반금융소비자가 예탁한 금전 등을 지체없이 운용하는데 동의한 경우(회사</w:t>
      </w:r>
      <w:r>
        <w:rPr>
          <w:rFonts w:asciiTheme="majorEastAsia" w:eastAsiaTheme="majorEastAsia" w:hAnsiTheme="majorEastAsia"/>
          <w:sz w:val="20"/>
          <w:szCs w:val="20"/>
        </w:rPr>
        <w:t>가</w:t>
      </w:r>
      <w:r>
        <w:rPr>
          <w:rFonts w:asciiTheme="majorEastAsia" w:eastAsiaTheme="majorEastAsia" w:hAnsiTheme="majorEastAsia"/>
          <w:sz w:val="20"/>
          <w:szCs w:val="20"/>
        </w:rPr>
        <w:t xml:space="preserve"> 해당 일반금융소비자에게 지체없이 운용하는데 동의한 경우에는 7일간 청약철회권 행사를 할 수 없다는 사실을 설명하고 일반금융소비자로부터 직접 서명,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기명날인,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녹취 등의 방법으로 확인을 받</w:t>
      </w:r>
      <w:r>
        <w:rPr>
          <w:rFonts w:asciiTheme="majorEastAsia" w:eastAsiaTheme="majorEastAsia" w:hAnsiTheme="majorEastAsia"/>
          <w:sz w:val="20"/>
          <w:szCs w:val="20"/>
        </w:rPr>
        <w:t>은 경우이어야</w:t>
      </w:r>
      <w:r>
        <w:rPr>
          <w:rFonts w:asciiTheme="majorEastAsia" w:eastAsiaTheme="majorEastAsia" w:hAnsiTheme="majorEastAsia"/>
          <w:sz w:val="20"/>
          <w:szCs w:val="20"/>
        </w:rPr>
        <w:t xml:space="preserve"> 한다.)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6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회사는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제2항</w:t>
      </w:r>
      <w:r>
        <w:rPr>
          <w:rFonts w:asciiTheme="majorEastAsia" w:eastAsiaTheme="majorEastAsia" w:hAnsiTheme="majorEastAsia"/>
          <w:sz w:val="20"/>
          <w:szCs w:val="20"/>
        </w:rPr>
        <w:t xml:space="preserve">의 </w:t>
      </w:r>
      <w:r>
        <w:rPr>
          <w:rFonts w:asciiTheme="majorEastAsia" w:eastAsiaTheme="majorEastAsia" w:hAnsiTheme="majorEastAsia"/>
          <w:sz w:val="20"/>
          <w:szCs w:val="20"/>
        </w:rPr>
        <w:t xml:space="preserve">사유가 없는 한, </w:t>
      </w:r>
      <w:r>
        <w:rPr>
          <w:rFonts w:asciiTheme="majorEastAsia" w:eastAsiaTheme="majorEastAsia" w:hAnsiTheme="majorEastAsia"/>
          <w:sz w:val="20"/>
          <w:szCs w:val="20"/>
        </w:rPr>
        <w:t>청약의 철회를 접수한 날로부터 3영업일 이내에 이미 받은 금전등을 반환하고, 반환이 늦어진 기간에 대해서는 해당 금융상품의 계약에서 정해진 연체이자율을 금전ㆍ재화ㆍ용역의 대금에 곱한 금액을 일 단위로 계산하여 지급</w:t>
      </w:r>
      <w:r>
        <w:rPr>
          <w:rFonts w:asciiTheme="majorEastAsia" w:eastAsiaTheme="majorEastAsia" w:hAnsiTheme="majorEastAsia"/>
          <w:sz w:val="20"/>
          <w:szCs w:val="20"/>
        </w:rPr>
        <w:t>하여야 한다.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6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금융소비자보호 총괄기관은 본조에 따른 청약철회권의 행사 및 거절과 관련한 각 사유가 있는지 </w:t>
      </w:r>
      <w:r>
        <w:rPr>
          <w:rFonts w:asciiTheme="majorEastAsia" w:eastAsiaTheme="majorEastAsia" w:hAnsiTheme="majorEastAsia"/>
          <w:sz w:val="20"/>
          <w:szCs w:val="20"/>
        </w:rPr>
        <w:t>확인하고 관련 업무를 처리하여야 하며 이를 위하여 다른 부서에 사실확인 또는 자료제공을 요구할 수 있다.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6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회사는</w:t>
      </w:r>
      <w:r>
        <w:rPr>
          <w:rFonts w:asciiTheme="majorEastAsia" w:eastAsiaTheme="majorEastAsia" w:hAnsiTheme="majorEastAsia"/>
          <w:sz w:val="20"/>
          <w:szCs w:val="20"/>
        </w:rPr>
        <w:t xml:space="preserve"> 청약이 철회된 경우 </w:t>
      </w:r>
      <w:r>
        <w:rPr>
          <w:rFonts w:asciiTheme="majorEastAsia" w:eastAsiaTheme="majorEastAsia" w:hAnsiTheme="majorEastAsia"/>
          <w:sz w:val="20"/>
          <w:szCs w:val="20"/>
        </w:rPr>
        <w:t>일반금융소비자</w:t>
      </w:r>
      <w:r>
        <w:rPr>
          <w:rFonts w:asciiTheme="majorEastAsia" w:eastAsiaTheme="majorEastAsia" w:hAnsiTheme="majorEastAsia"/>
          <w:sz w:val="20"/>
          <w:szCs w:val="20"/>
        </w:rPr>
        <w:t xml:space="preserve">에 대하여 청약의 철회에 따른 손해배상 또는 위약금 등 금전 지급을 청구할 수 없으며, 청약의 철회에 대한 특약으로서 </w:t>
      </w:r>
      <w:r>
        <w:rPr>
          <w:rFonts w:asciiTheme="majorEastAsia" w:eastAsiaTheme="majorEastAsia" w:hAnsiTheme="majorEastAsia"/>
          <w:sz w:val="20"/>
          <w:szCs w:val="20"/>
        </w:rPr>
        <w:t>일반금융소비자</w:t>
      </w:r>
      <w:r>
        <w:rPr>
          <w:rFonts w:asciiTheme="majorEastAsia" w:eastAsiaTheme="majorEastAsia" w:hAnsiTheme="majorEastAsia"/>
          <w:sz w:val="20"/>
          <w:szCs w:val="20"/>
        </w:rPr>
        <w:t>에게 불리한 것은 무효로 한다.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6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회사는</w:t>
      </w:r>
      <w:r>
        <w:rPr>
          <w:rFonts w:asciiTheme="majorEastAsia" w:eastAsiaTheme="majorEastAsia" w:hAnsiTheme="majorEastAsia"/>
          <w:sz w:val="20"/>
          <w:szCs w:val="20"/>
        </w:rPr>
        <w:t xml:space="preserve"> 청약이 철회된 경우 </w:t>
      </w:r>
      <w:r>
        <w:rPr>
          <w:rFonts w:asciiTheme="majorEastAsia" w:eastAsiaTheme="majorEastAsia" w:hAnsiTheme="majorEastAsia"/>
          <w:sz w:val="20"/>
          <w:szCs w:val="20"/>
        </w:rPr>
        <w:t>일반금융소비자</w:t>
      </w:r>
      <w:r>
        <w:rPr>
          <w:rFonts w:asciiTheme="majorEastAsia" w:eastAsiaTheme="majorEastAsia" w:hAnsiTheme="majorEastAsia"/>
          <w:sz w:val="20"/>
          <w:szCs w:val="20"/>
        </w:rPr>
        <w:t xml:space="preserve">에 대하여 청약의 철회에 따라 금전(이자 및 수수료를 포함)반환하는 경우에는 </w:t>
      </w:r>
      <w:r>
        <w:rPr>
          <w:rFonts w:asciiTheme="majorEastAsia" w:eastAsiaTheme="majorEastAsia" w:hAnsiTheme="majorEastAsia"/>
          <w:sz w:val="20"/>
          <w:szCs w:val="20"/>
        </w:rPr>
        <w:t>해당 일반금융소비자</w:t>
      </w:r>
      <w:r>
        <w:rPr>
          <w:rFonts w:asciiTheme="majorEastAsia" w:eastAsiaTheme="majorEastAsia" w:hAnsiTheme="majorEastAsia"/>
          <w:sz w:val="20"/>
          <w:szCs w:val="20"/>
        </w:rPr>
        <w:t>가 지정하는 입금계좌로 입금해야 한다.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2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1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조(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위법계약해지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권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에 관한 기준과 절차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)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9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금융소비자가 회사가 법에서 정하는 적합성 원칙, 적정성 원칙, 설명의무, 불공정영업행위금지 또는 부당권유행위금지</w:t>
      </w:r>
      <w:r>
        <w:rPr>
          <w:rFonts w:asciiTheme="majorEastAsia" w:eastAsiaTheme="majorEastAsia" w:hAnsiTheme="majorEastAsia"/>
          <w:sz w:val="20"/>
          <w:szCs w:val="20"/>
        </w:rPr>
        <w:t>를</w:t>
      </w:r>
      <w:r>
        <w:rPr>
          <w:rFonts w:asciiTheme="majorEastAsia" w:eastAsiaTheme="majorEastAsia" w:hAnsiTheme="majorEastAsia"/>
          <w:sz w:val="20"/>
          <w:szCs w:val="20"/>
        </w:rPr>
        <w:t xml:space="preserve"> 위반하여 </w:t>
      </w:r>
      <w:r>
        <w:rPr>
          <w:rFonts w:asciiTheme="majorEastAsia" w:eastAsiaTheme="majorEastAsia" w:hAnsiTheme="majorEastAsia"/>
          <w:sz w:val="20"/>
          <w:szCs w:val="20"/>
        </w:rPr>
        <w:t xml:space="preserve">체결한 </w:t>
      </w:r>
      <w:r>
        <w:rPr>
          <w:rFonts w:asciiTheme="majorEastAsia" w:eastAsiaTheme="majorEastAsia" w:hAnsiTheme="majorEastAsia"/>
          <w:sz w:val="20"/>
          <w:szCs w:val="20"/>
        </w:rPr>
        <w:t xml:space="preserve">금융상품에 관한 </w:t>
      </w:r>
      <w:r>
        <w:rPr>
          <w:rFonts w:asciiTheme="majorEastAsia" w:eastAsiaTheme="majorEastAsia" w:hAnsiTheme="majorEastAsia"/>
          <w:sz w:val="20"/>
          <w:szCs w:val="20"/>
        </w:rPr>
        <w:t xml:space="preserve">계약으로서 각호의 요건을 충족하는 </w:t>
      </w:r>
      <w:r>
        <w:rPr>
          <w:rFonts w:asciiTheme="majorEastAsia" w:eastAsiaTheme="majorEastAsia" w:hAnsiTheme="majorEastAsia"/>
          <w:sz w:val="20"/>
          <w:szCs w:val="20"/>
        </w:rPr>
        <w:t xml:space="preserve">계약의 해지를 </w:t>
      </w:r>
      <w:r>
        <w:rPr>
          <w:rFonts w:asciiTheme="majorEastAsia" w:eastAsiaTheme="majorEastAsia" w:hAnsiTheme="majorEastAsia"/>
          <w:sz w:val="20"/>
          <w:szCs w:val="20"/>
        </w:rPr>
        <w:t xml:space="preserve">서면등으로 </w:t>
      </w:r>
      <w:r>
        <w:rPr>
          <w:rFonts w:asciiTheme="majorEastAsia" w:eastAsiaTheme="majorEastAsia" w:hAnsiTheme="majorEastAsia"/>
          <w:sz w:val="20"/>
          <w:szCs w:val="20"/>
        </w:rPr>
        <w:t>요구하는 경우</w:t>
      </w:r>
      <w:r>
        <w:rPr>
          <w:rFonts w:asciiTheme="majorEastAsia" w:eastAsiaTheme="majorEastAsia" w:hAnsiTheme="majorEastAsia"/>
          <w:sz w:val="20"/>
          <w:szCs w:val="20"/>
        </w:rPr>
        <w:t xml:space="preserve">(이하 </w:t>
      </w:r>
      <w:r>
        <w:rPr>
          <w:rFonts w:asciiTheme="majorEastAsia" w:eastAsiaTheme="majorEastAsia" w:hAnsiTheme="majorEastAsia"/>
          <w:sz w:val="20"/>
          <w:szCs w:val="20"/>
        </w:rPr>
        <w:t>“</w:t>
      </w:r>
      <w:r>
        <w:rPr>
          <w:rFonts w:asciiTheme="majorEastAsia" w:eastAsiaTheme="majorEastAsia" w:hAnsiTheme="majorEastAsia"/>
          <w:sz w:val="20"/>
          <w:szCs w:val="20"/>
        </w:rPr>
        <w:t>위법계약해지권</w:t>
      </w:r>
      <w:r>
        <w:rPr>
          <w:rFonts w:asciiTheme="majorEastAsia" w:eastAsiaTheme="majorEastAsia" w:hAnsiTheme="majorEastAsia"/>
          <w:sz w:val="20"/>
          <w:szCs w:val="20"/>
        </w:rPr>
        <w:t>”)</w:t>
      </w:r>
      <w:r>
        <w:rPr>
          <w:rFonts w:asciiTheme="majorEastAsia" w:eastAsiaTheme="majorEastAsia" w:hAnsiTheme="majorEastAsia"/>
          <w:sz w:val="20"/>
          <w:szCs w:val="20"/>
        </w:rPr>
        <w:t>,</w:t>
      </w:r>
      <w:r>
        <w:rPr>
          <w:rFonts w:asciiTheme="majorEastAsia" w:eastAsiaTheme="majorEastAsia" w:hAnsiTheme="majorEastAsia"/>
          <w:sz w:val="20"/>
          <w:szCs w:val="20"/>
        </w:rPr>
        <w:t xml:space="preserve"> 회사는 </w:t>
      </w:r>
      <w:r>
        <w:rPr>
          <w:rFonts w:asciiTheme="majorEastAsia" w:eastAsiaTheme="majorEastAsia" w:hAnsiTheme="majorEastAsia"/>
          <w:sz w:val="20"/>
          <w:szCs w:val="20"/>
        </w:rPr>
        <w:t>제2항에서 정하는 사유가 없는 한 이를 수락하는 의사표시를 하여야 한다</w:t>
      </w:r>
      <w:r>
        <w:rPr>
          <w:rFonts w:asciiTheme="majorEastAsia" w:eastAsiaTheme="majorEastAsia" w:hAnsiTheme="majorEastAsia"/>
          <w:sz w:val="20"/>
          <w:szCs w:val="20"/>
        </w:rPr>
        <w:t>.</w:t>
      </w:r>
    </w:p>
    <w:p>
      <w:pPr>
        <w:pStyle w:val="a7"/>
        <w:ind w:leftChars="0"/>
        <w:numPr>
          <w:ilvl w:val="0"/>
          <w:numId w:val="30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계약의 형태가 계속적일 것</w:t>
      </w:r>
    </w:p>
    <w:p>
      <w:pPr>
        <w:pStyle w:val="a7"/>
        <w:ind w:leftChars="0"/>
        <w:numPr>
          <w:ilvl w:val="0"/>
          <w:numId w:val="30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계약기간 종료 전 금융소비자가 계약을 해지할 경우 그 계약에 따라 금융소비자의 재산에 불이익이 발생할 것</w:t>
      </w:r>
    </w:p>
    <w:p>
      <w:pPr>
        <w:pStyle w:val="a7"/>
        <w:ind w:leftChars="0"/>
        <w:numPr>
          <w:ilvl w:val="0"/>
          <w:numId w:val="30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금융소비자가 위법한 계약을 체결하였음을 안 날로부터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1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년 이내에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(해당 기간은 계약체결일로부터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5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년 이내의 범위에 있어야 한다)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계약의 해지를 요구하였을 것</w:t>
      </w:r>
    </w:p>
    <w:p>
      <w:pPr>
        <w:pStyle w:val="a7"/>
        <w:ind w:leftChars="0"/>
        <w:numPr>
          <w:ilvl w:val="0"/>
          <w:numId w:val="30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금융소비자가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금융상품의 명칭,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법 위반사실이 기재된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계약해지요구서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를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제출하였을 것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9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회사는 다음과 같은 정당한 사유가 있는 경우 위법계약해지권</w:t>
      </w:r>
      <w:r>
        <w:rPr>
          <w:rFonts w:asciiTheme="majorEastAsia" w:eastAsiaTheme="majorEastAsia" w:hAnsiTheme="majorEastAsia"/>
          <w:sz w:val="20"/>
          <w:szCs w:val="20"/>
        </w:rPr>
        <w:t>이</w:t>
      </w:r>
      <w:r>
        <w:rPr>
          <w:rFonts w:asciiTheme="majorEastAsia" w:eastAsiaTheme="majorEastAsia" w:hAnsiTheme="majorEastAsia"/>
          <w:sz w:val="20"/>
          <w:szCs w:val="20"/>
        </w:rPr>
        <w:t xml:space="preserve"> 행사</w:t>
      </w:r>
      <w:r>
        <w:rPr>
          <w:rFonts w:asciiTheme="majorEastAsia" w:eastAsiaTheme="majorEastAsia" w:hAnsiTheme="majorEastAsia"/>
          <w:sz w:val="20"/>
          <w:szCs w:val="20"/>
        </w:rPr>
        <w:t>된 계약의 해지</w:t>
      </w:r>
      <w:r>
        <w:rPr>
          <w:rFonts w:asciiTheme="majorEastAsia" w:eastAsiaTheme="majorEastAsia" w:hAnsiTheme="majorEastAsia"/>
          <w:sz w:val="20"/>
          <w:szCs w:val="20"/>
        </w:rPr>
        <w:t>를 거절할 수 있다.</w:t>
      </w:r>
    </w:p>
    <w:p>
      <w:pPr>
        <w:pStyle w:val="a7"/>
        <w:ind w:leftChars="0"/>
        <w:numPr>
          <w:ilvl w:val="0"/>
          <w:numId w:val="31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위반사실에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대한 근거를 제시하지 않거나 거짓으로 제시한 경우</w:t>
      </w:r>
    </w:p>
    <w:p>
      <w:pPr>
        <w:pStyle w:val="a7"/>
        <w:ind w:leftChars="0"/>
        <w:numPr>
          <w:ilvl w:val="0"/>
          <w:numId w:val="31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계약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체결 당시에는 위반사항이 없었으나 금융소비자가 계약 체결 이후의 사정변경에 따라 위반사항을 주장하는 경우</w:t>
      </w:r>
    </w:p>
    <w:p>
      <w:pPr>
        <w:pStyle w:val="a7"/>
        <w:ind w:leftChars="0"/>
        <w:numPr>
          <w:ilvl w:val="0"/>
          <w:numId w:val="31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금융소비자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의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동의를 받아 위반사항을 시정한 경우</w:t>
      </w:r>
    </w:p>
    <w:p>
      <w:pPr>
        <w:pStyle w:val="a7"/>
        <w:ind w:leftChars="0"/>
        <w:numPr>
          <w:ilvl w:val="0"/>
          <w:numId w:val="31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회사가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본조 제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3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항의 기한 내에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법 위반사실이 없음을 확인하는데 필요한 객관적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·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합리적인 근거자료를 금융소비자에게 제시한 경우</w:t>
      </w:r>
    </w:p>
    <w:p>
      <w:pPr>
        <w:pStyle w:val="a7"/>
        <w:ind w:leftChars="0"/>
        <w:numPr>
          <w:ilvl w:val="0"/>
          <w:numId w:val="31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금융소비자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가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회사의 행위에 금소법 위반사실이 있다는 사실을 계약을 체결하기 전에 이미 알고 있었다고 볼 수 있는 명백한 사유가 경우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9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회사는 위법계약해지권</w:t>
      </w:r>
      <w:r>
        <w:rPr>
          <w:rFonts w:asciiTheme="majorEastAsia" w:eastAsiaTheme="majorEastAsia" w:hAnsiTheme="majorEastAsia"/>
          <w:sz w:val="20"/>
          <w:szCs w:val="20"/>
        </w:rPr>
        <w:t>이 행사된 경우</w:t>
      </w:r>
      <w:r>
        <w:rPr>
          <w:rFonts w:asciiTheme="majorEastAsia" w:eastAsiaTheme="majorEastAsia" w:hAnsiTheme="majorEastAsia"/>
          <w:sz w:val="20"/>
          <w:szCs w:val="20"/>
        </w:rPr>
        <w:t xml:space="preserve"> 해지를 요구받은 날부터 10일 이내에 금융소비자에게 수락여부를 통지하여야 하며,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 xml:space="preserve">거절할 때에는 거절사유를 함께 통지하여야 한다. </w:t>
      </w:r>
      <w:r>
        <w:rPr>
          <w:rFonts w:asciiTheme="majorEastAsia" w:eastAsiaTheme="majorEastAsia" w:hAnsiTheme="majorEastAsia"/>
          <w:sz w:val="20"/>
          <w:szCs w:val="20"/>
        </w:rPr>
        <w:t>단,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 xml:space="preserve">다음과 같은 경우는 </w:t>
      </w:r>
      <w:r>
        <w:rPr>
          <w:rFonts w:asciiTheme="majorEastAsia" w:eastAsiaTheme="majorEastAsia" w:hAnsiTheme="majorEastAsia"/>
          <w:sz w:val="20"/>
          <w:szCs w:val="20"/>
        </w:rPr>
        <w:t>다음 각 호에서 정하는 기한에 따른</w:t>
      </w:r>
      <w:r>
        <w:rPr>
          <w:rFonts w:asciiTheme="majorEastAsia" w:eastAsiaTheme="majorEastAsia" w:hAnsiTheme="majorEastAsia"/>
          <w:sz w:val="20"/>
          <w:szCs w:val="20"/>
        </w:rPr>
        <w:t>다.</w:t>
      </w:r>
    </w:p>
    <w:p>
      <w:pPr>
        <w:pStyle w:val="a7"/>
        <w:ind w:leftChars="0"/>
        <w:numPr>
          <w:ilvl w:val="0"/>
          <w:numId w:val="32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계약의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해지를 요구한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금융소비자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의 연락처나 소재지를 확인할 수 없거나 이와 유사한 사유로 통지기간 내 연락이 곤란한 경우: 해당 사유가 해소된 후 지체 없이 알릴 것</w:t>
      </w:r>
    </w:p>
    <w:p>
      <w:pPr>
        <w:pStyle w:val="a7"/>
        <w:ind w:leftChars="0"/>
        <w:numPr>
          <w:ilvl w:val="0"/>
          <w:numId w:val="32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사실 확인 또는 자료 확인을 이유로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금융소비자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의 동의를 받아 통지기한을 연장한 경우: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연장된 기한까지 알릴 것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9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회사가 </w:t>
      </w:r>
      <w:r>
        <w:rPr>
          <w:rFonts w:asciiTheme="majorEastAsia" w:eastAsiaTheme="majorEastAsia" w:hAnsiTheme="majorEastAsia"/>
          <w:sz w:val="20"/>
          <w:szCs w:val="20"/>
        </w:rPr>
        <w:t xml:space="preserve">본조 </w:t>
      </w:r>
      <w:r>
        <w:rPr>
          <w:rFonts w:asciiTheme="majorEastAsia" w:eastAsiaTheme="majorEastAsia" w:hAnsiTheme="majorEastAsia"/>
          <w:sz w:val="20"/>
          <w:szCs w:val="20"/>
        </w:rPr>
        <w:t>제2항에서 정하는 사유가 없</w:t>
      </w:r>
      <w:r>
        <w:rPr>
          <w:rFonts w:asciiTheme="majorEastAsia" w:eastAsiaTheme="majorEastAsia" w:hAnsiTheme="majorEastAsia"/>
          <w:sz w:val="20"/>
          <w:szCs w:val="20"/>
        </w:rPr>
        <w:t>음에도 불구하고 계약 해지를 수락하지 아니하</w:t>
      </w:r>
      <w:r>
        <w:rPr>
          <w:rFonts w:asciiTheme="majorEastAsia" w:eastAsiaTheme="majorEastAsia" w:hAnsiTheme="majorEastAsia"/>
          <w:sz w:val="20"/>
          <w:szCs w:val="20"/>
        </w:rPr>
        <w:t>는 경우</w:t>
      </w:r>
      <w:r>
        <w:rPr>
          <w:rFonts w:asciiTheme="majorEastAsia" w:eastAsiaTheme="majorEastAsia" w:hAnsiTheme="majorEastAsia"/>
          <w:sz w:val="20"/>
          <w:szCs w:val="20"/>
        </w:rPr>
        <w:t xml:space="preserve"> 금융소비자</w:t>
      </w:r>
      <w:r>
        <w:rPr>
          <w:rFonts w:asciiTheme="majorEastAsia" w:eastAsiaTheme="majorEastAsia" w:hAnsiTheme="majorEastAsia"/>
          <w:sz w:val="20"/>
          <w:szCs w:val="20"/>
        </w:rPr>
        <w:t>는</w:t>
      </w:r>
      <w:r>
        <w:rPr>
          <w:rFonts w:asciiTheme="majorEastAsia" w:eastAsiaTheme="majorEastAsia" w:hAnsiTheme="majorEastAsia"/>
          <w:sz w:val="20"/>
          <w:szCs w:val="20"/>
        </w:rPr>
        <w:t xml:space="preserve"> 해당 계약을 해지</w:t>
      </w:r>
      <w:r>
        <w:rPr>
          <w:rFonts w:asciiTheme="majorEastAsia" w:eastAsiaTheme="majorEastAsia" w:hAnsiTheme="majorEastAsia"/>
          <w:sz w:val="20"/>
          <w:szCs w:val="20"/>
        </w:rPr>
        <w:t>할 수 있다.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9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본조 </w:t>
      </w:r>
      <w:r>
        <w:rPr>
          <w:rFonts w:asciiTheme="majorEastAsia" w:eastAsiaTheme="majorEastAsia" w:hAnsiTheme="majorEastAsia"/>
          <w:sz w:val="20"/>
          <w:szCs w:val="20"/>
        </w:rPr>
        <w:t>제1항 또는 제</w:t>
      </w:r>
      <w:r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/>
          <w:sz w:val="20"/>
          <w:szCs w:val="20"/>
        </w:rPr>
        <w:t xml:space="preserve">항에 따라 계약이 해지된 </w:t>
      </w:r>
      <w:r>
        <w:rPr>
          <w:rFonts w:asciiTheme="majorEastAsia" w:eastAsiaTheme="majorEastAsia" w:hAnsiTheme="majorEastAsia"/>
          <w:sz w:val="20"/>
          <w:szCs w:val="20"/>
        </w:rPr>
        <w:t xml:space="preserve">경우 </w:t>
      </w:r>
      <w:r>
        <w:rPr>
          <w:rFonts w:asciiTheme="majorEastAsia" w:eastAsiaTheme="majorEastAsia" w:hAnsiTheme="majorEastAsia"/>
          <w:sz w:val="20"/>
          <w:szCs w:val="20"/>
        </w:rPr>
        <w:t>해당 계약은 해지시점을 기준으로 장래를 향하여 효력을 상실하고,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회사는 수수료,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위약금 등 계약의 해지와 관련된 비용을 요구할 수 없다.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29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금융소비자보호 총괄기관은 본조에 따른 위법계약해지권의 행사 및 거절과 관련한 각 사유가 있는지 확인하고 관련 업무를 처리하며 이를 위하여 다른 부서에 사실확인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또는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자료제공을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요구할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수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있다</w:t>
      </w:r>
      <w:r>
        <w:rPr>
          <w:rFonts w:asciiTheme="majorEastAsia" w:eastAsiaTheme="majorEastAsia" w:hAnsiTheme="majorEastAsia"/>
          <w:sz w:val="20"/>
          <w:szCs w:val="20"/>
        </w:rPr>
        <w:t>.</w:t>
      </w:r>
    </w:p>
    <w:p>
      <w:pPr>
        <w:snapToGrid w:val="0"/>
        <w:spacing w:line="276" w:lineRule="auto"/>
        <w:textAlignment w:val="bottom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22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조(휴면, 장기미청구 금융재산 발생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예방을 위한 절차)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33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금융상품 판매 및 마케팅 담당 부서는 상품의 신규가입·유지 단계에서 금융상품 만기 시 처리방법(재예치·입금계좌 설정 등) 및 만기통보방법 지정 등에 대해 금융소비자에게 안내하는 한편, 금융소비자가 자신에게 유리한 방법을 선택할 수 있도록 하여야 한다.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33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금융상품 판매 및 마케팅 담당 부서는 금융소비자의 금융재산이 만기에 도달한 경우 그 사실을 다음 각호의 어느 하나에 해당하는 방법으로 금융소비자에게 알려야 한다.</w:t>
      </w:r>
    </w:p>
    <w:p>
      <w:pPr>
        <w:pStyle w:val="a7"/>
        <w:ind w:leftChars="150"/>
        <w:autoSpaceDE w:val="off"/>
        <w:autoSpaceDN w:val="off"/>
        <w:widowControl w:val="off"/>
        <w:snapToGrid w:val="0"/>
        <w:numPr>
          <w:ilvl w:val="0"/>
          <w:numId w:val="34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서면교부</w:t>
      </w:r>
    </w:p>
    <w:p>
      <w:pPr>
        <w:pStyle w:val="a7"/>
        <w:ind w:leftChars="150"/>
        <w:autoSpaceDE w:val="off"/>
        <w:autoSpaceDN w:val="off"/>
        <w:widowControl w:val="off"/>
        <w:snapToGrid w:val="0"/>
        <w:numPr>
          <w:ilvl w:val="0"/>
          <w:numId w:val="34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우편 또는 전자우편</w:t>
      </w:r>
    </w:p>
    <w:p>
      <w:pPr>
        <w:pStyle w:val="a7"/>
        <w:ind w:leftChars="150"/>
        <w:autoSpaceDE w:val="off"/>
        <w:autoSpaceDN w:val="off"/>
        <w:widowControl w:val="off"/>
        <w:snapToGrid w:val="0"/>
        <w:numPr>
          <w:ilvl w:val="0"/>
          <w:numId w:val="34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휴대전화 문자메시지 또는 이에 준하는 전자적 의사표시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33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금융소비자보호 총괄기관은 휴면, 장기미청구 금융재산 발생예방을 위하여 매년 휴면, 장기미청구 금융재산의 실태를 파악하고 금융상품 판매 및 마케팅 담당부서로 하여금 전항의 방법 또는 다른 적절한 방법으로 금융소비자에게 다시 알리도록 하여야 한다.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2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3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조(정보의 시의성 확보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)</w:t>
      </w:r>
    </w:p>
    <w:p>
      <w:pPr>
        <w:pStyle w:val="a7"/>
        <w:ind w:leftChars="0"/>
        <w:numPr>
          <w:ilvl w:val="0"/>
          <w:numId w:val="35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회사는 금융소비자의 권리 등에 대한 정보제공과 관련하여 제공시기 및 내용을 금융소비자의 관점에서 고려하고 정보제공이 시의적절하게 이루어 질 수 있도록 하여야 한다.</w:t>
      </w:r>
    </w:p>
    <w:p>
      <w:pPr>
        <w:pStyle w:val="a7"/>
        <w:ind w:leftChars="0"/>
        <w:numPr>
          <w:ilvl w:val="0"/>
          <w:numId w:val="35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회사는 공시자료 내용에 변경이 생긴 경우 특별한 사유가 없는 한 지체없이 자료를 수정함으로써 금융소비자에게 정확한 정보를 제공하여야 한다.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jc w:val="center"/>
        <w:spacing w:line="276" w:lineRule="auto"/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8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 xml:space="preserve">장 </w:t>
      </w:r>
      <w:r>
        <w:rPr>
          <w:rFonts w:asciiTheme="majorEastAsia" w:eastAsiaTheme="majorEastAsia" w:hAnsiTheme="majorEastAsia" w:cs="굴림"/>
          <w:b/>
          <w:bCs/>
          <w:color w:val="000000"/>
          <w:sz w:val="24"/>
          <w:szCs w:val="20"/>
          <w:kern w:val="0"/>
        </w:rPr>
        <w:t>금융소비자보호기준 준수 여부 점검·조치 및 평가 등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spacing w:line="276" w:lineRule="auto"/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2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4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조(계약 체결 후 금융소비자 보호를 위한 필요 사항 점검 및 제도 개선)</w:t>
      </w:r>
    </w:p>
    <w:p>
      <w:pPr>
        <w:pStyle w:val="a7"/>
        <w:ind w:leftChars="0"/>
        <w:numPr>
          <w:ilvl w:val="0"/>
          <w:numId w:val="36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금융소비자보호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총괄기관은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금융상품과 관련한 민원</w:t>
      </w:r>
      <w:r>
        <w:rPr>
          <w:rFonts w:asciiTheme="majorEastAsia" w:eastAsiaTheme="majorEastAsia" w:hAnsiTheme="majorEastAsia" w:cs="MS Gothic"/>
          <w:color w:val="auto"/>
          <w:sz w:val="20"/>
          <w:szCs w:val="20"/>
          <w:kern w:val="0"/>
        </w:rPr>
        <w:t>·</w:t>
      </w:r>
      <w:r>
        <w:rPr>
          <w:rFonts w:asciiTheme="majorEastAsia" w:eastAsiaTheme="majorEastAsia" w:hAnsiTheme="majorEastAsia" w:cs="바탕체"/>
          <w:color w:val="auto"/>
          <w:sz w:val="20"/>
          <w:szCs w:val="20"/>
          <w:kern w:val="0"/>
        </w:rPr>
        <w:t>분쟁이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빈발하는 경우 주요 원인을 파악하고, 제도개선 사항을 도출하여 관련 부서장에게 제도개선 조치를 요청하고, 개선여부를 관리하여야 한다.</w:t>
      </w:r>
    </w:p>
    <w:p>
      <w:pPr>
        <w:pStyle w:val="a7"/>
        <w:ind w:leftChars="0"/>
        <w:numPr>
          <w:ilvl w:val="0"/>
          <w:numId w:val="36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제도개선을 요구받은 관련 부서는 신속하게 개선계획 및 결과를 보고하여야 하며, 금융소비자보호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총괄기관은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그 개선계획 진행사항 및 그 결과를 대표이사 및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금융소비자보호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내부통제위원회에 보고하여야 한다.</w:t>
      </w:r>
    </w:p>
    <w:p>
      <w:pPr>
        <w:pStyle w:val="a7"/>
        <w:ind w:leftChars="0"/>
        <w:numPr>
          <w:ilvl w:val="0"/>
          <w:numId w:val="36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회사는 금융소비자와 계약 체결 후 금융소비자가 자료열람 요구, 청약철회권 또는 위법계약해지권의 행사, 기타 금융소비자보호법규상 권리를 행사하는 경우 이를 금융소비자보호법규에 따라 적절하게 처리하고 있는지 여부를 점검하여야 한다.</w:t>
      </w:r>
    </w:p>
    <w:p>
      <w:pPr>
        <w:pStyle w:val="a7"/>
        <w:ind w:leftChars="0"/>
        <w:numPr>
          <w:ilvl w:val="0"/>
          <w:numId w:val="36"/>
        </w:num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회사는 금융소비자의 민원제기, 자료열람 요구, 청약철회권 또는 위법계약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해지권의 행사 등이 자주 발생하는 경우 주요 원인을 파악하고 분석하여야 한다.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 </w:t>
      </w:r>
    </w:p>
    <w:p>
      <w:pPr>
        <w:snapToGrid w:val="0"/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</w:p>
    <w:p>
      <w:pPr>
        <w:snapToGrid w:val="0"/>
        <w:spacing w:line="276" w:lineRule="auto"/>
        <w:textAlignment w:val="bottom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/>
          <w:b/>
          <w:sz w:val="20"/>
          <w:szCs w:val="20"/>
        </w:rPr>
        <w:t>제</w:t>
      </w:r>
      <w:r>
        <w:rPr>
          <w:rFonts w:asciiTheme="majorEastAsia" w:eastAsiaTheme="majorEastAsia" w:hAnsiTheme="majorEastAsia"/>
          <w:b/>
          <w:sz w:val="20"/>
          <w:szCs w:val="20"/>
        </w:rPr>
        <w:t>2</w:t>
      </w:r>
      <w:r>
        <w:rPr>
          <w:rFonts w:asciiTheme="majorEastAsia" w:eastAsiaTheme="majorEastAsia" w:hAnsiTheme="majorEastAsia"/>
          <w:b/>
          <w:sz w:val="20"/>
          <w:szCs w:val="20"/>
        </w:rPr>
        <w:t>5</w:t>
      </w:r>
      <w:r>
        <w:rPr>
          <w:rFonts w:asciiTheme="majorEastAsia" w:eastAsiaTheme="majorEastAsia" w:hAnsiTheme="majorEastAsia"/>
          <w:b/>
          <w:sz w:val="20"/>
          <w:szCs w:val="20"/>
        </w:rPr>
        <w:t>조(대리</w:t>
      </w:r>
      <w:r>
        <w:rPr>
          <w:rFonts w:asciiTheme="majorEastAsia" w:eastAsiaTheme="majorEastAsia" w:hAnsiTheme="majorEastAsia"/>
          <w:b/>
          <w:sz w:val="20"/>
          <w:szCs w:val="20"/>
        </w:rPr>
        <w:t>·</w:t>
      </w:r>
      <w:r>
        <w:rPr>
          <w:rFonts w:asciiTheme="majorEastAsia" w:eastAsiaTheme="majorEastAsia" w:hAnsiTheme="majorEastAsia"/>
          <w:b/>
          <w:sz w:val="20"/>
          <w:szCs w:val="20"/>
        </w:rPr>
        <w:t>중개업자 관리기준)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37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회사의 임직원은 회사가 대리</w:t>
      </w:r>
      <w:r>
        <w:rPr>
          <w:rFonts w:asciiTheme="majorEastAsia" w:eastAsiaTheme="majorEastAsia" w:hAnsiTheme="majorEastAsia"/>
          <w:sz w:val="20"/>
          <w:szCs w:val="20"/>
        </w:rPr>
        <w:t>·</w:t>
      </w:r>
      <w:r>
        <w:rPr>
          <w:rFonts w:asciiTheme="majorEastAsia" w:eastAsiaTheme="majorEastAsia" w:hAnsiTheme="majorEastAsia"/>
          <w:sz w:val="20"/>
          <w:szCs w:val="20"/>
        </w:rPr>
        <w:t>중개업자와 위탁계약을 체결하거나 위탁계약을 해지하는 경우 그 내용을 금융소비자보호 총괄기관에 통지하여야 한다.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37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금융소비자보호 총괄기관은 필요한 경우 회사의 각 부서에 대리</w:t>
      </w:r>
      <w:r>
        <w:rPr>
          <w:rFonts w:asciiTheme="majorEastAsia" w:eastAsiaTheme="majorEastAsia" w:hAnsiTheme="majorEastAsia"/>
          <w:sz w:val="20"/>
          <w:szCs w:val="20"/>
        </w:rPr>
        <w:t>·</w:t>
      </w:r>
      <w:r>
        <w:rPr>
          <w:rFonts w:asciiTheme="majorEastAsia" w:eastAsiaTheme="majorEastAsia" w:hAnsiTheme="majorEastAsia"/>
          <w:sz w:val="20"/>
          <w:szCs w:val="20"/>
        </w:rPr>
        <w:t>중개업자와의 위탁계약에 관한 자료를 제출할 것을 요구할 수 있으며,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금융소비자와의 이해상충 및 금융소비자 개인(신용)정보의 분실·도난·유출·변조·훼손이 발생하지 않도록 다음 각호의 사항을 포함한 대리·중개업자의 위탁계약 이행상황을 관리감독한다.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38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대리·중개업자와의 위탁계약 체결 및 계약해지 절차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38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대리·중개업자 영업행위 점검절차 및 보고체계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38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 개인정보보호(정보접근 제한, 정보유출 방지대책) 대책 및 관련법규의 준수에 관한 사항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38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위탁계약서 주요 기재사항(업무 범위, 위탁자의 감사 권한, 업무 위·수탁에 대한 수수료 등, 고객정보의 보호, 감독기관 검사수용의무 등)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38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대리·중개업자 실적 등에 대한 기록관리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38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수수료 산정 및 지급기준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38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교육프로그램, 교육주기, 교육방법 등에 관한 사항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38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회사 감사인의 자료접근권 보장</w:t>
      </w:r>
    </w:p>
    <w:p>
      <w:pPr>
        <w:pStyle w:val="a7"/>
        <w:ind w:leftChars="0"/>
        <w:autoSpaceDE w:val="off"/>
        <w:autoSpaceDN w:val="off"/>
        <w:widowControl w:val="off"/>
        <w:snapToGrid w:val="0"/>
        <w:numPr>
          <w:ilvl w:val="0"/>
          <w:numId w:val="37"/>
        </w:numPr>
        <w:spacing w:line="276" w:lineRule="auto"/>
        <w:textAlignment w:val="bottom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금융소비자보호 총괄기관은 대리·중개업자가 관련법령을 위반하는 경우, 해당 대리·중개업자에 대한 수수료 감액, 벌점 부과, 계약해지 등 불이익에 관한 사항을 정하여 업무위탁계약서에 반영하도록 관련 부서에 통보하여야 하고,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통보받은 부서는 그 내용을 반영하여야 한다.</w:t>
      </w:r>
    </w:p>
    <w:p>
      <w:pPr>
        <w:spacing w:line="276" w:lineRule="auto"/>
        <w:rPr>
          <w:rFonts w:asciiTheme="majorEastAsia" w:eastAsiaTheme="majorEastAsia" w:hAnsiTheme="majorEastAsia" w:cs="굴림"/>
          <w:strike/>
          <w:color w:val="FF0000"/>
          <w:sz w:val="20"/>
          <w:szCs w:val="20"/>
          <w:kern w:val="0"/>
        </w:rPr>
      </w:pP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2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6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조(금융소비자보호기준의 제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sym w:font="Wingdings" w:char="F0A0"/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>개정)</w:t>
      </w:r>
      <w:r>
        <w:rPr>
          <w:rFonts w:asciiTheme="majorEastAsia" w:eastAsiaTheme="majorEastAsia" w:hAnsiTheme="majorEastAsia" w:cs="굴림"/>
          <w:b/>
          <w:color w:val="auto"/>
          <w:sz w:val="20"/>
          <w:szCs w:val="20"/>
          <w:kern w:val="0"/>
        </w:rPr>
        <w:t xml:space="preserve">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이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기준의 제정ㆍ변경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절차와 관련된 사항은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금융소비자보호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내부통제기준을 준용한다.</w:t>
      </w:r>
    </w:p>
    <w:p>
      <w:pPr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</w:p>
    <w:p>
      <w:pPr>
        <w:jc w:val="center"/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부    칙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</w:t>
      </w:r>
    </w:p>
    <w:p>
      <w:pPr>
        <w:jc w:val="left"/>
        <w:spacing w:line="276" w:lineRule="auto"/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</w:pP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 </w:t>
      </w:r>
      <w:r>
        <w:rPr>
          <w:lang w:eastAsia="ko-KR"/>
          <w:rFonts w:asciiTheme="majorEastAsia" w:eastAsiaTheme="majorEastAsia" w:hAnsiTheme="majorEastAsia" w:cs="굴림"/>
          <w:color w:val="auto"/>
          <w:sz w:val="20"/>
          <w:szCs w:val="20"/>
          <w:kern w:val="0"/>
          <w:rtl w:val="off"/>
        </w:rPr>
        <w:t xml:space="preserve">제 1조 (시행일) 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이 기준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은 </w:t>
      </w:r>
      <w:r>
        <w:rPr>
          <w:lang w:eastAsia="ko-KR"/>
          <w:rFonts w:asciiTheme="majorEastAsia" w:eastAsiaTheme="majorEastAsia" w:hAnsiTheme="majorEastAsia" w:cs="굴림"/>
          <w:color w:val="auto"/>
          <w:sz w:val="20"/>
          <w:szCs w:val="20"/>
          <w:kern w:val="0"/>
          <w:rtl w:val="off"/>
        </w:rPr>
        <w:t>2021년 11월 16일부터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 xml:space="preserve"> 시행한다</w:t>
      </w:r>
      <w:r>
        <w:rPr>
          <w:rFonts w:asciiTheme="majorEastAsia" w:eastAsiaTheme="majorEastAsia" w:hAnsiTheme="majorEastAsia" w:cs="굴림"/>
          <w:color w:val="auto"/>
          <w:sz w:val="20"/>
          <w:szCs w:val="20"/>
          <w:kern w:val="0"/>
        </w:rPr>
        <w:t>.</w:t>
      </w:r>
    </w:p>
    <w:p>
      <w:pPr>
        <w:snapToGrid w:val="0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/>
          <w:b/>
          <w:sz w:val="20"/>
          <w:szCs w:val="20"/>
        </w:rPr>
        <w:t>[별표1]</w:t>
      </w:r>
      <w:r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b/>
          <w:sz w:val="20"/>
          <w:szCs w:val="20"/>
        </w:rPr>
        <w:t>민원</w:t>
      </w:r>
      <w:r>
        <w:rPr>
          <w:rFonts w:asciiTheme="majorEastAsia" w:eastAsiaTheme="majorEastAsia" w:hAnsiTheme="majorEastAsia"/>
          <w:b/>
          <w:sz w:val="20"/>
          <w:szCs w:val="20"/>
        </w:rPr>
        <w:sym w:font="Wingdings" w:char="F0A0"/>
      </w:r>
      <w:r>
        <w:rPr>
          <w:rFonts w:asciiTheme="majorEastAsia" w:eastAsiaTheme="majorEastAsia" w:hAnsiTheme="majorEastAsia"/>
          <w:b/>
          <w:sz w:val="20"/>
          <w:szCs w:val="20"/>
        </w:rPr>
        <w:t xml:space="preserve">분쟁 </w:t>
      </w:r>
      <w:r>
        <w:rPr>
          <w:rFonts w:asciiTheme="majorEastAsia" w:eastAsiaTheme="majorEastAsia" w:hAnsiTheme="majorEastAsia"/>
          <w:b/>
          <w:sz w:val="20"/>
          <w:szCs w:val="20"/>
        </w:rPr>
        <w:t>관리시스템</w:t>
      </w:r>
      <w:r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</w:p>
    <w:p>
      <w:pPr>
        <w:spacing w:after="120" w:line="240" w:lineRule="auto"/>
        <w:rPr>
          <w:rFonts w:asciiTheme="majorEastAsia" w:eastAsiaTheme="majorEastAsia" w:hAnsiTheme="majorEastAsia" w:cs="굴림"/>
          <w:color w:val="000000"/>
          <w:sz w:val="20"/>
          <w:szCs w:val="20"/>
          <w:kern w:val="0"/>
          <w:spacing w:val="-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2"/>
      </w:tblGrid>
      <w:tr>
        <w:trPr>
          <w:trHeight w:val="11509" w:hRule="atLeast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</w:pPr>
            <w:bookmarkStart w:id="1" w:name="#4f2428c8"/>
            <w:bookmarkEnd w:id="1"/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sz w:val="20"/>
                <w:szCs w:val="20"/>
                <w:kern w:val="0"/>
                <w:spacing w:val="-6"/>
              </w:rPr>
              <w:t> 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sz w:val="20"/>
                <w:szCs w:val="20"/>
                <w:kern w:val="0"/>
              </w:rPr>
              <w:t>가. 모니터링 기능</w:t>
            </w:r>
          </w:p>
          <w:p>
            <w:pPr>
              <w:spacing w:line="300" w:lineRule="auto"/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  회사는 민원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sym w:font="Wingdings" w:char="F0A0"/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분쟁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 xml:space="preserve">의 다발성, 변동추이 등을 모니터링할 수 있어야 하며, 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8"/>
              </w:rPr>
              <w:t>이를 활용하여 조기경보 등을 통하여 민원 예방이 실현될 수 있는 시스템을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 xml:space="preserve"> 구축하여야 한다. 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2"/>
              </w:rPr>
              <w:t>또한 신상품 출시후 상품별 고객불만 및 민원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2"/>
              </w:rPr>
              <w:sym w:font="Wingdings" w:char="F0A0"/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2"/>
              </w:rPr>
              <w:t>분쟁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2"/>
              </w:rPr>
              <w:t>발생 모니터링을 수행할 수 있어야 한다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.</w:t>
            </w:r>
          </w:p>
          <w:p>
            <w:pPr>
              <w:spacing w:line="300" w:lineRule="auto"/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 </w:t>
            </w:r>
          </w:p>
          <w:p>
            <w:pPr>
              <w:spacing w:after="60" w:line="360" w:lineRule="auto"/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sz w:val="20"/>
                <w:szCs w:val="20"/>
                <w:kern w:val="0"/>
              </w:rPr>
              <w:t>  나. 신속성, 투명성 확보</w:t>
            </w:r>
          </w:p>
          <w:p>
            <w:pPr>
              <w:ind w:firstLine="135"/>
              <w:spacing w:line="300" w:lineRule="auto"/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5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5"/>
              </w:rPr>
              <w:t>회사는 금융소비자의 불만을 다양한 접수채널(방문, 전화, 서신, 팩스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 xml:space="preserve">, 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5"/>
              </w:rPr>
              <w:t>e-mail, 인터넷 등)을 통해 접수하고, 금융소비자불만이 접수되는 즉시 민원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 xml:space="preserve"> 접수사실, 민원처리 담당자 성명, 전화번호 등을 민원인에게 문서, 팩스, e-mail, 문자메세지, 전화 등의 방법으로 통지하여야 한다.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 xml:space="preserve"> 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단,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 xml:space="preserve"> 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금융소비자보호에 관한 법률에 따른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금융소비자의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 xml:space="preserve"> 권리행사에 대하여는 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 xml:space="preserve">금융소비자보호에 관한 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법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률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 xml:space="preserve">, 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 xml:space="preserve">동법 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 xml:space="preserve">시행령 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및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 xml:space="preserve"> 감독규정에서 정한 방법으로 통지한다.</w:t>
            </w:r>
          </w:p>
          <w:p>
            <w:pPr>
              <w:spacing w:line="300" w:lineRule="auto"/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5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3"/>
              </w:rPr>
              <w:t xml:space="preserve">민원의 접수, 처리 과정은 총괄부서 및 유관부서(영업점 포함)에서 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조회가 가능하도록 운영하여야 한다.</w:t>
            </w:r>
          </w:p>
          <w:p>
            <w:pPr>
              <w:spacing w:line="300" w:lineRule="auto"/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8"/>
              </w:rPr>
              <w:t>금융소비자불만의 처리기한은 접수시간부터 처리결과에 대한 안내시점까지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 xml:space="preserve"> 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3"/>
              </w:rPr>
              <w:t>관리하여야 하며, 상품별 금융소비자불만의 유형에 따라 구분∙처리하여야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 xml:space="preserve"> 한다.</w:t>
            </w:r>
          </w:p>
          <w:p>
            <w:pPr>
              <w:ind w:firstLine="255"/>
              <w:spacing w:line="300" w:lineRule="auto"/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8"/>
              </w:rPr>
            </w:pPr>
          </w:p>
          <w:p>
            <w:pPr>
              <w:spacing w:after="60" w:line="360" w:lineRule="auto"/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sz w:val="20"/>
                <w:szCs w:val="20"/>
                <w:kern w:val="0"/>
              </w:rPr>
              <w:t>  다. 전산화</w:t>
            </w:r>
          </w:p>
          <w:p>
            <w:pPr>
              <w:spacing w:line="300" w:lineRule="auto"/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  회사는 민원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sym w:font="Wingdings" w:char="F0A0"/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분쟁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의 접수단계에서 종결까지 전 과정에 대하여 전산시스템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 xml:space="preserve"> 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8"/>
              </w:rPr>
              <w:t>(음성녹취, 이미지 스캐닝, E-mail, SMS서비스등)을 개발, 운영함으로써 업무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5"/>
              </w:rPr>
              <w:t>처리의 효율성을 높여야 한다. (단, 민원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5"/>
              </w:rPr>
              <w:sym w:font="Wingdings" w:char="F0A0"/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5"/>
              </w:rPr>
              <w:t>분쟁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  <w:spacing w:val="-5"/>
              </w:rPr>
              <w:t xml:space="preserve"> 건수가 적어 수작업 분석이 가능한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 xml:space="preserve"> 경우에는 제외 가능)</w:t>
            </w:r>
          </w:p>
          <w:p>
            <w:pPr>
              <w:spacing w:line="300" w:lineRule="auto"/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 </w:t>
            </w:r>
          </w:p>
          <w:p>
            <w:pPr>
              <w:spacing w:after="60" w:line="360" w:lineRule="auto"/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sz w:val="20"/>
                <w:szCs w:val="20"/>
                <w:kern w:val="0"/>
              </w:rPr>
              <w:t>  라. 모든 처리결과 Data Base화</w:t>
            </w:r>
          </w:p>
          <w:p>
            <w:pPr>
              <w:spacing w:line="300" w:lineRule="auto"/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  민원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sym w:font="Wingdings" w:char="F0A0"/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분쟁</w:t>
            </w:r>
            <w:r>
              <w:rPr>
                <w:rFonts w:asciiTheme="majorEastAsia" w:eastAsiaTheme="majorEastAsia" w:hAnsiTheme="majorEastAsia" w:cs="굴림"/>
                <w:color w:val="000000"/>
                <w:sz w:val="20"/>
                <w:szCs w:val="20"/>
                <w:kern w:val="0"/>
              </w:rPr>
              <w:t>처리 시스템내에는 유형별, 원인별, 상품별, 부서별, 영업조직별 통계 Data를 제공할 수 있어야 하며, 문제 영역에 대해서는 조기대응 및 분석이 가능하여야 한다.</w:t>
            </w:r>
          </w:p>
        </w:tc>
      </w:tr>
    </w:tbl>
    <w:p>
      <w:pPr>
        <w:rPr>
          <w:rFonts w:asciiTheme="majorEastAsia" w:eastAsiaTheme="majorEastAsia" w:hAnsiTheme="majorEastAsia" w:cs="굴림"/>
          <w:color w:val="000000"/>
          <w:sz w:val="20"/>
          <w:szCs w:val="20"/>
          <w:kern w:val="0"/>
        </w:rPr>
      </w:pPr>
    </w:p>
    <w:sectPr>
      <w:pgSz w:w="11906" w:h="16838"/>
      <w:pgMar w:top="1418" w:right="1134" w:bottom="1418" w:left="1134" w:header="851" w:footer="851" w:gutter="0"/>
      <w:cols/>
      <w:docGrid w:linePitch="435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Garamond">
    <w:panose1 w:val="02020404030301010803"/>
    <w:family w:val="roman"/>
    <w:charset w:val="00"/>
    <w:notTrueType w:val="false"/>
    <w:sig w:usb0="00000287" w:usb1="00000001" w:usb2="00000001" w:usb3="00000001" w:csb0="0000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>
        <w:pPr>
          <w:pStyle w:val="a4"/>
          <w:jc w:val="center"/>
          <w:spacing w:line="240" w:lineRule="auto"/>
          <w:rPr>
            <w:sz w:val="20"/>
            <w:szCs w:val="20"/>
          </w:rPr>
        </w:pPr>
        <w:r/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lang w:val="ko-KR"/>
            <w:noProof/>
            <w:sz w:val="20"/>
            <w:szCs w:val="20"/>
          </w:rPr>
          <w:t>12</w:t>
        </w:r>
        <w:r>
          <w:rPr>
            <w:sz w:val="20"/>
            <w:szCs w:val="20"/>
          </w:rPr>
          <w:fldChar w:fldCharType="end"/>
        </w:r>
        <w:r/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b8574e9"/>
    <w:multiLevelType w:val="hybridMultilevel"/>
    <w:tmpl w:val="e61c71e0"/>
    <w:lvl w:ilvl="0" w:tplc="409000f">
      <w:start w:val="1"/>
      <w:lvlText w:val="%1."/>
      <w:lvlJc w:val="left"/>
      <w:pPr>
        <w:ind w:left="800" w:hanging="400"/>
      </w:p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abf4530"/>
    <w:multiLevelType w:val="hybridMultilevel"/>
    <w:tmpl w:val="e562820a"/>
    <w:lvl w:ilvl="0" w:tplc="409000f">
      <w:start w:val="1"/>
      <w:lvlText w:val="%1."/>
      <w:lvlJc w:val="left"/>
      <w:pPr>
        <w:ind w:left="800" w:hanging="400"/>
      </w:p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9363c04"/>
    <w:multiLevelType w:val="hybridMultilevel"/>
    <w:tmpl w:val="483efade"/>
    <w:lvl w:ilvl="0" w:tplc="4090011">
      <w:start w:val="1"/>
      <w:numFmt w:val="decimalEnclosedCircle"/>
      <w:lvlText w:val="%1"/>
      <w:lvlJc w:val="left"/>
      <w:pPr>
        <w:ind w:left="400" w:hanging="400"/>
      </w:p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14617b0c"/>
    <w:multiLevelType w:val="hybridMultilevel"/>
    <w:tmpl w:val="97b4693e"/>
    <w:lvl w:ilvl="0" w:tplc="4090011">
      <w:start w:val="1"/>
      <w:numFmt w:val="decimalEnclosedCircle"/>
      <w:lvlText w:val="%1"/>
      <w:lvlJc w:val="left"/>
      <w:pPr>
        <w:ind w:left="400" w:hanging="400"/>
      </w:pPr>
    </w:lvl>
    <w:lvl w:ilvl="1" w:tplc="d01eb138">
      <w:start w:val="1"/>
      <w:lvlText w:val="%2."/>
      <w:lvlJc w:val="left"/>
      <w:pPr>
        <w:ind w:left="760" w:hanging="360"/>
      </w:pPr>
      <w:rPr>
        <w:rFonts w:hint="default"/>
      </w:r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28241bca"/>
    <w:multiLevelType w:val="hybridMultilevel"/>
    <w:tmpl w:val="48a09772"/>
    <w:lvl w:ilvl="0" w:tplc="73f64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46aa1a13"/>
    <w:multiLevelType w:val="hybridMultilevel"/>
    <w:tmpl w:val="1b1c4e84"/>
    <w:lvl w:ilvl="0" w:tplc="409000f">
      <w:start w:val="1"/>
      <w:lvlText w:val="%1."/>
      <w:lvlJc w:val="left"/>
      <w:pPr>
        <w:ind w:left="800" w:hanging="400"/>
      </w:pPr>
    </w:lvl>
    <w:lvl w:ilvl="1" w:tplc="409000f">
      <w:start w:val="1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d335ed6"/>
    <w:multiLevelType w:val="hybridMultilevel"/>
    <w:tmpl w:val="fbc08f88"/>
    <w:lvl w:ilvl="0" w:tplc="d6562e1a">
      <w:start w:val="1"/>
      <w:numFmt w:val="decimalEnclosedCircle"/>
      <w:lvlText w:val="%1"/>
      <w:lvlJc w:val="left"/>
      <w:pPr>
        <w:ind w:left="400" w:hanging="400"/>
      </w:pPr>
      <w:rPr>
        <w:b w:val="0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7c133fea"/>
    <w:multiLevelType w:val="hybridMultilevel"/>
    <w:tmpl w:val="e0b87688"/>
    <w:lvl w:ilvl="0" w:tplc="409000f">
      <w:start w:val="1"/>
      <w:lvlText w:val="%1."/>
      <w:lvlJc w:val="left"/>
      <w:pPr>
        <w:ind w:left="800" w:hanging="400"/>
      </w:pPr>
    </w:lvl>
    <w:lvl w:ilvl="1" w:tplc="409000f">
      <w:start w:val="1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26f7e1d"/>
    <w:multiLevelType w:val="hybridMultilevel"/>
    <w:tmpl w:val="e5940f20"/>
    <w:lvl w:ilvl="0" w:tplc="4090011">
      <w:start w:val="1"/>
      <w:numFmt w:val="decimalEnclosedCircle"/>
      <w:lvlText w:val="%1"/>
      <w:lvlJc w:val="left"/>
      <w:pPr>
        <w:ind w:left="400" w:hanging="400"/>
      </w:p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9">
    <w:nsid w:val="3ad5471f"/>
    <w:multiLevelType w:val="hybridMultilevel"/>
    <w:tmpl w:val="f6c8eed6"/>
    <w:lvl w:ilvl="0" w:tplc="409000f">
      <w:start w:val="1"/>
      <w:lvlText w:val="%1."/>
      <w:lvlJc w:val="left"/>
      <w:pPr>
        <w:ind w:left="800" w:hanging="400"/>
      </w:p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4c24e2b"/>
    <w:multiLevelType w:val="hybridMultilevel"/>
    <w:tmpl w:val="83ea4dc2"/>
    <w:lvl w:ilvl="0" w:tplc="8354a1ba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off"/>
        <w:color w:val="auto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11">
    <w:nsid w:val="589759b"/>
    <w:multiLevelType w:val="hybridMultilevel"/>
    <w:tmpl w:val="2b3e5824"/>
    <w:lvl w:ilvl="0" w:tplc="409000f">
      <w:start w:val="1"/>
      <w:lvlText w:val="%1."/>
      <w:lvlJc w:val="left"/>
      <w:pPr>
        <w:ind w:left="800" w:hanging="400"/>
      </w:pPr>
    </w:lvl>
    <w:lvl w:ilvl="1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f48261c"/>
    <w:multiLevelType w:val="hybridMultilevel"/>
    <w:tmpl w:val="786e816a"/>
    <w:lvl w:ilvl="0" w:tplc="409000f">
      <w:start w:val="1"/>
      <w:lvlText w:val="%1."/>
      <w:lvlJc w:val="left"/>
      <w:pPr>
        <w:ind w:left="880" w:hanging="400"/>
      </w:pPr>
      <w:rPr>
        <w:rFonts w:hint="eastAsia"/>
      </w:rPr>
    </w:lvl>
    <w:lvl w:ilvl="1" w:tentative="on" w:tplc="4090019">
      <w:start w:val="1"/>
      <w:numFmt w:val="upperLetter"/>
      <w:lvlText w:val="%2."/>
      <w:lvlJc w:val="left"/>
      <w:pPr>
        <w:ind w:left="880" w:hanging="400"/>
      </w:pPr>
    </w:lvl>
    <w:lvl w:ilvl="2" w:tentative="on" w:tplc="409001b">
      <w:start w:val="1"/>
      <w:numFmt w:val="lowerRoman"/>
      <w:lvlText w:val="%3."/>
      <w:lvlJc w:val="right"/>
      <w:pPr>
        <w:ind w:left="1280" w:hanging="400"/>
      </w:pPr>
    </w:lvl>
    <w:lvl w:ilvl="3" w:tentative="on" w:tplc="409000f">
      <w:start w:val="1"/>
      <w:lvlText w:val="%4."/>
      <w:lvlJc w:val="left"/>
      <w:pPr>
        <w:ind w:left="1680" w:hanging="400"/>
      </w:pPr>
    </w:lvl>
    <w:lvl w:ilvl="4" w:tentative="on" w:tplc="4090019">
      <w:start w:val="1"/>
      <w:numFmt w:val="upperLetter"/>
      <w:lvlText w:val="%5."/>
      <w:lvlJc w:val="left"/>
      <w:pPr>
        <w:ind w:left="2080" w:hanging="400"/>
      </w:pPr>
    </w:lvl>
    <w:lvl w:ilvl="5" w:tentative="on" w:tplc="409001b">
      <w:start w:val="1"/>
      <w:numFmt w:val="lowerRoman"/>
      <w:lvlText w:val="%6."/>
      <w:lvlJc w:val="right"/>
      <w:pPr>
        <w:ind w:left="2480" w:hanging="400"/>
      </w:pPr>
    </w:lvl>
    <w:lvl w:ilvl="6" w:tentative="on" w:tplc="409000f">
      <w:start w:val="1"/>
      <w:lvlText w:val="%7."/>
      <w:lvlJc w:val="left"/>
      <w:pPr>
        <w:ind w:left="2880" w:hanging="400"/>
      </w:pPr>
    </w:lvl>
    <w:lvl w:ilvl="7" w:tentative="on" w:tplc="4090019">
      <w:start w:val="1"/>
      <w:numFmt w:val="upperLetter"/>
      <w:lvlText w:val="%8."/>
      <w:lvlJc w:val="left"/>
      <w:pPr>
        <w:ind w:left="3280" w:hanging="400"/>
      </w:pPr>
    </w:lvl>
    <w:lvl w:ilvl="8" w:tentative="on" w:tplc="409001b">
      <w:start w:val="1"/>
      <w:numFmt w:val="lowerRoman"/>
      <w:lvlText w:val="%9."/>
      <w:lvlJc w:val="right"/>
      <w:pPr>
        <w:ind w:left="3680" w:hanging="400"/>
      </w:pPr>
    </w:lvl>
  </w:abstractNum>
  <w:abstractNum w:abstractNumId="13">
    <w:nsid w:val="58e64b6b"/>
    <w:multiLevelType w:val="hybridMultilevel"/>
    <w:tmpl w:val="f72e782"/>
    <w:lvl w:ilvl="0" w:tplc="409000f">
      <w:start w:val="1"/>
      <w:lvlText w:val="%1."/>
      <w:lvlJc w:val="left"/>
      <w:pPr>
        <w:ind w:left="880" w:hanging="400"/>
      </w:pPr>
      <w:rPr>
        <w:rFonts w:hint="eastAsia"/>
      </w:rPr>
    </w:lvl>
    <w:lvl w:ilvl="1" w:tentative="on" w:tplc="4090019">
      <w:start w:val="1"/>
      <w:numFmt w:val="upperLetter"/>
      <w:lvlText w:val="%2."/>
      <w:lvlJc w:val="left"/>
      <w:pPr>
        <w:ind w:left="880" w:hanging="400"/>
      </w:pPr>
    </w:lvl>
    <w:lvl w:ilvl="2" w:tentative="on" w:tplc="409001b">
      <w:start w:val="1"/>
      <w:numFmt w:val="lowerRoman"/>
      <w:lvlText w:val="%3."/>
      <w:lvlJc w:val="right"/>
      <w:pPr>
        <w:ind w:left="1280" w:hanging="400"/>
      </w:pPr>
    </w:lvl>
    <w:lvl w:ilvl="3" w:tentative="on" w:tplc="409000f">
      <w:start w:val="1"/>
      <w:lvlText w:val="%4."/>
      <w:lvlJc w:val="left"/>
      <w:pPr>
        <w:ind w:left="1680" w:hanging="400"/>
      </w:pPr>
    </w:lvl>
    <w:lvl w:ilvl="4" w:tentative="on" w:tplc="4090019">
      <w:start w:val="1"/>
      <w:numFmt w:val="upperLetter"/>
      <w:lvlText w:val="%5."/>
      <w:lvlJc w:val="left"/>
      <w:pPr>
        <w:ind w:left="2080" w:hanging="400"/>
      </w:pPr>
    </w:lvl>
    <w:lvl w:ilvl="5" w:tentative="on" w:tplc="409001b">
      <w:start w:val="1"/>
      <w:numFmt w:val="lowerRoman"/>
      <w:lvlText w:val="%6."/>
      <w:lvlJc w:val="right"/>
      <w:pPr>
        <w:ind w:left="2480" w:hanging="400"/>
      </w:pPr>
    </w:lvl>
    <w:lvl w:ilvl="6" w:tentative="on" w:tplc="409000f">
      <w:start w:val="1"/>
      <w:lvlText w:val="%7."/>
      <w:lvlJc w:val="left"/>
      <w:pPr>
        <w:ind w:left="2880" w:hanging="400"/>
      </w:pPr>
    </w:lvl>
    <w:lvl w:ilvl="7" w:tentative="on" w:tplc="4090019">
      <w:start w:val="1"/>
      <w:numFmt w:val="upperLetter"/>
      <w:lvlText w:val="%8."/>
      <w:lvlJc w:val="left"/>
      <w:pPr>
        <w:ind w:left="3280" w:hanging="400"/>
      </w:pPr>
    </w:lvl>
    <w:lvl w:ilvl="8" w:tentative="on" w:tplc="409001b">
      <w:start w:val="1"/>
      <w:numFmt w:val="lowerRoman"/>
      <w:lvlText w:val="%9."/>
      <w:lvlJc w:val="right"/>
      <w:pPr>
        <w:ind w:left="3680" w:hanging="400"/>
      </w:pPr>
    </w:lvl>
  </w:abstractNum>
  <w:abstractNum w:abstractNumId="14">
    <w:nsid w:val="4c941188"/>
    <w:multiLevelType w:val="hybridMultilevel"/>
    <w:tmpl w:val="dc203f04"/>
    <w:lvl w:ilvl="0" w:tplc="48b6d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15">
    <w:nsid w:val="73e8640d"/>
    <w:multiLevelType w:val="hybridMultilevel"/>
    <w:tmpl w:val="81b09e1e"/>
    <w:lvl w:ilvl="0" w:tplc="409000f">
      <w:start w:val="1"/>
      <w:lvlText w:val="%1."/>
      <w:lvlJc w:val="left"/>
      <w:pPr>
        <w:ind w:left="760" w:hanging="400"/>
      </w:pPr>
      <w:rPr>
        <w:rFonts w:hint="eastAsia"/>
      </w:rPr>
    </w:lvl>
    <w:lvl w:ilvl="1" w:tentative="on" w:tplc="4090019">
      <w:start w:val="1"/>
      <w:numFmt w:val="upperLetter"/>
      <w:lvlText w:val="%2."/>
      <w:lvlJc w:val="left"/>
      <w:pPr>
        <w:ind w:left="760" w:hanging="400"/>
      </w:pPr>
    </w:lvl>
    <w:lvl w:ilvl="2" w:tentative="on" w:tplc="409001b">
      <w:start w:val="1"/>
      <w:numFmt w:val="lowerRoman"/>
      <w:lvlText w:val="%3."/>
      <w:lvlJc w:val="right"/>
      <w:pPr>
        <w:ind w:left="1160" w:hanging="400"/>
      </w:pPr>
    </w:lvl>
    <w:lvl w:ilvl="3" w:tentative="on" w:tplc="409000f">
      <w:start w:val="1"/>
      <w:lvlText w:val="%4."/>
      <w:lvlJc w:val="left"/>
      <w:pPr>
        <w:ind w:left="1560" w:hanging="400"/>
      </w:pPr>
    </w:lvl>
    <w:lvl w:ilvl="4" w:tentative="on" w:tplc="4090019">
      <w:start w:val="1"/>
      <w:numFmt w:val="upperLetter"/>
      <w:lvlText w:val="%5."/>
      <w:lvlJc w:val="left"/>
      <w:pPr>
        <w:ind w:left="1960" w:hanging="400"/>
      </w:pPr>
    </w:lvl>
    <w:lvl w:ilvl="5" w:tentative="on" w:tplc="409001b">
      <w:start w:val="1"/>
      <w:numFmt w:val="lowerRoman"/>
      <w:lvlText w:val="%6."/>
      <w:lvlJc w:val="right"/>
      <w:pPr>
        <w:ind w:left="2360" w:hanging="400"/>
      </w:pPr>
    </w:lvl>
    <w:lvl w:ilvl="6" w:tentative="on" w:tplc="409000f">
      <w:start w:val="1"/>
      <w:lvlText w:val="%7."/>
      <w:lvlJc w:val="left"/>
      <w:pPr>
        <w:ind w:left="2760" w:hanging="400"/>
      </w:pPr>
    </w:lvl>
    <w:lvl w:ilvl="7" w:tentative="on" w:tplc="4090019">
      <w:start w:val="1"/>
      <w:numFmt w:val="upperLetter"/>
      <w:lvlText w:val="%8."/>
      <w:lvlJc w:val="left"/>
      <w:pPr>
        <w:ind w:left="3160" w:hanging="400"/>
      </w:pPr>
    </w:lvl>
    <w:lvl w:ilvl="8" w:tentative="on" w:tplc="409001b">
      <w:start w:val="1"/>
      <w:numFmt w:val="lowerRoman"/>
      <w:lvlText w:val="%9."/>
      <w:lvlJc w:val="right"/>
      <w:pPr>
        <w:ind w:left="3560" w:hanging="400"/>
      </w:pPr>
    </w:lvl>
  </w:abstractNum>
  <w:abstractNum w:abstractNumId="16">
    <w:nsid w:val="189372f2"/>
    <w:multiLevelType w:val="hybridMultilevel"/>
    <w:tmpl w:val="dc203f04"/>
    <w:lvl w:ilvl="0" w:tplc="48b6d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17">
    <w:nsid w:val="8362ed2"/>
    <w:multiLevelType w:val="hybridMultilevel"/>
    <w:tmpl w:val="b8d09e28"/>
    <w:lvl w:ilvl="0" w:tplc="4090011">
      <w:start w:val="1"/>
      <w:numFmt w:val="decimalEnclosedCircle"/>
      <w:lvlText w:val="%1"/>
      <w:lvlJc w:val="left"/>
      <w:pPr>
        <w:ind w:left="400" w:hanging="400"/>
      </w:p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18">
    <w:nsid w:val="45b02de4"/>
    <w:multiLevelType w:val="hybridMultilevel"/>
    <w:tmpl w:val="49c44ccc"/>
    <w:lvl w:ilvl="0" w:tplc="4090011">
      <w:start w:val="1"/>
      <w:numFmt w:val="decimalEnclosedCircle"/>
      <w:lvlText w:val="%1"/>
      <w:lvlJc w:val="left"/>
      <w:pPr>
        <w:ind w:left="400" w:hanging="400"/>
      </w:p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19">
    <w:nsid w:val="142337a4"/>
    <w:multiLevelType w:val="hybridMultilevel"/>
    <w:tmpl w:val="35a2dc80"/>
    <w:lvl w:ilvl="0" w:tplc="4090011">
      <w:start w:val="1"/>
      <w:numFmt w:val="decimalEnclosedCircle"/>
      <w:lvlText w:val="%1"/>
      <w:lvlJc w:val="left"/>
      <w:pPr>
        <w:ind w:left="400" w:hanging="400"/>
      </w:p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20">
    <w:nsid w:val="5e4375c8"/>
    <w:multiLevelType w:val="hybridMultilevel"/>
    <w:tmpl w:val="dc203f04"/>
    <w:lvl w:ilvl="0" w:tplc="48b6d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21">
    <w:nsid w:val="578f52da"/>
    <w:multiLevelType w:val="hybridMultilevel"/>
    <w:tmpl w:val="dc203f04"/>
    <w:lvl w:ilvl="0" w:tplc="48b6d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22">
    <w:nsid w:val="524733c5"/>
    <w:multiLevelType w:val="hybridMultilevel"/>
    <w:tmpl w:val="dc203f04"/>
    <w:lvl w:ilvl="0" w:tplc="48b6d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23">
    <w:nsid w:val="7c28543a"/>
    <w:multiLevelType w:val="hybridMultilevel"/>
    <w:tmpl w:val="4d20470c"/>
    <w:lvl w:ilvl="0" w:tplc="409000f">
      <w:start w:val="1"/>
      <w:lvlText w:val="%1."/>
      <w:lvlJc w:val="left"/>
      <w:pPr>
        <w:ind w:left="880" w:hanging="400"/>
      </w:pPr>
      <w:rPr>
        <w:rFonts w:hint="eastAsia"/>
      </w:rPr>
    </w:lvl>
    <w:lvl w:ilvl="1" w:tplc="e9e6cd62">
      <w:start w:val="1"/>
      <w:numFmt w:val="ganada"/>
      <w:lvlText w:val="%2."/>
      <w:lvlJc w:val="left"/>
      <w:pPr>
        <w:ind w:left="960" w:hanging="480"/>
      </w:pPr>
      <w:rPr>
        <w:rFonts w:hint="default"/>
      </w:rPr>
    </w:lvl>
    <w:lvl w:ilvl="2" w:tentative="on" w:tplc="409001b">
      <w:start w:val="1"/>
      <w:numFmt w:val="lowerRoman"/>
      <w:lvlText w:val="%3."/>
      <w:lvlJc w:val="right"/>
      <w:pPr>
        <w:ind w:left="1280" w:hanging="400"/>
      </w:pPr>
    </w:lvl>
    <w:lvl w:ilvl="3" w:tentative="on" w:tplc="409000f">
      <w:start w:val="1"/>
      <w:lvlText w:val="%4."/>
      <w:lvlJc w:val="left"/>
      <w:pPr>
        <w:ind w:left="1680" w:hanging="400"/>
      </w:pPr>
    </w:lvl>
    <w:lvl w:ilvl="4" w:tentative="on" w:tplc="4090019">
      <w:start w:val="1"/>
      <w:numFmt w:val="upperLetter"/>
      <w:lvlText w:val="%5."/>
      <w:lvlJc w:val="left"/>
      <w:pPr>
        <w:ind w:left="2080" w:hanging="400"/>
      </w:pPr>
    </w:lvl>
    <w:lvl w:ilvl="5" w:tentative="on" w:tplc="409001b">
      <w:start w:val="1"/>
      <w:numFmt w:val="lowerRoman"/>
      <w:lvlText w:val="%6."/>
      <w:lvlJc w:val="right"/>
      <w:pPr>
        <w:ind w:left="2480" w:hanging="400"/>
      </w:pPr>
    </w:lvl>
    <w:lvl w:ilvl="6" w:tentative="on" w:tplc="409000f">
      <w:start w:val="1"/>
      <w:lvlText w:val="%7."/>
      <w:lvlJc w:val="left"/>
      <w:pPr>
        <w:ind w:left="2880" w:hanging="400"/>
      </w:pPr>
    </w:lvl>
    <w:lvl w:ilvl="7" w:tentative="on" w:tplc="4090019">
      <w:start w:val="1"/>
      <w:numFmt w:val="upperLetter"/>
      <w:lvlText w:val="%8."/>
      <w:lvlJc w:val="left"/>
      <w:pPr>
        <w:ind w:left="3280" w:hanging="400"/>
      </w:pPr>
    </w:lvl>
    <w:lvl w:ilvl="8" w:tentative="on" w:tplc="409001b">
      <w:start w:val="1"/>
      <w:numFmt w:val="lowerRoman"/>
      <w:lvlText w:val="%9."/>
      <w:lvlJc w:val="right"/>
      <w:pPr>
        <w:ind w:left="3680" w:hanging="400"/>
      </w:pPr>
    </w:lvl>
  </w:abstractNum>
  <w:abstractNum w:abstractNumId="24">
    <w:nsid w:val="780057d4"/>
    <w:multiLevelType w:val="hybridMultilevel"/>
    <w:tmpl w:val="4488968e"/>
    <w:lvl w:ilvl="0" w:tplc="c8c82dfe">
      <w:start w:val="1"/>
      <w:numFmt w:val="ganada"/>
      <w:lvlText w:val="%1."/>
      <w:lvlJc w:val="left"/>
      <w:pPr>
        <w:ind w:left="1280" w:hanging="400"/>
      </w:pPr>
      <w:rPr>
        <w:rFonts w:hint="eastAsia"/>
      </w:rPr>
    </w:lvl>
    <w:lvl w:ilvl="1" w:tplc="4090019">
      <w:start w:val="1"/>
      <w:numFmt w:val="upperLetter"/>
      <w:lvlText w:val="%2."/>
      <w:lvlJc w:val="left"/>
      <w:pPr>
        <w:ind w:left="1680" w:hanging="400"/>
      </w:pPr>
    </w:lvl>
    <w:lvl w:ilvl="2" w:tentative="on" w:tplc="409001b">
      <w:start w:val="1"/>
      <w:numFmt w:val="lowerRoman"/>
      <w:lvlText w:val="%3."/>
      <w:lvlJc w:val="right"/>
      <w:pPr>
        <w:ind w:left="2080" w:hanging="400"/>
      </w:pPr>
    </w:lvl>
    <w:lvl w:ilvl="3" w:tentative="on" w:tplc="409000f">
      <w:start w:val="1"/>
      <w:lvlText w:val="%4."/>
      <w:lvlJc w:val="left"/>
      <w:pPr>
        <w:ind w:left="2480" w:hanging="400"/>
      </w:pPr>
    </w:lvl>
    <w:lvl w:ilvl="4" w:tentative="on" w:tplc="4090019">
      <w:start w:val="1"/>
      <w:numFmt w:val="upperLetter"/>
      <w:lvlText w:val="%5."/>
      <w:lvlJc w:val="left"/>
      <w:pPr>
        <w:ind w:left="2880" w:hanging="400"/>
      </w:pPr>
    </w:lvl>
    <w:lvl w:ilvl="5" w:tentative="on" w:tplc="409001b">
      <w:start w:val="1"/>
      <w:numFmt w:val="lowerRoman"/>
      <w:lvlText w:val="%6."/>
      <w:lvlJc w:val="right"/>
      <w:pPr>
        <w:ind w:left="3280" w:hanging="400"/>
      </w:pPr>
    </w:lvl>
    <w:lvl w:ilvl="6" w:tentative="on" w:tplc="409000f">
      <w:start w:val="1"/>
      <w:lvlText w:val="%7."/>
      <w:lvlJc w:val="left"/>
      <w:pPr>
        <w:ind w:left="3680" w:hanging="400"/>
      </w:pPr>
    </w:lvl>
    <w:lvl w:ilvl="7" w:tentative="on" w:tplc="4090019">
      <w:start w:val="1"/>
      <w:numFmt w:val="upperLetter"/>
      <w:lvlText w:val="%8."/>
      <w:lvlJc w:val="left"/>
      <w:pPr>
        <w:ind w:left="4080" w:hanging="400"/>
      </w:pPr>
    </w:lvl>
    <w:lvl w:ilvl="8" w:tentative="on" w:tplc="409001b">
      <w:start w:val="1"/>
      <w:numFmt w:val="lowerRoman"/>
      <w:lvlText w:val="%9."/>
      <w:lvlJc w:val="right"/>
      <w:pPr>
        <w:ind w:left="4480" w:hanging="400"/>
      </w:pPr>
    </w:lvl>
  </w:abstractNum>
  <w:abstractNum w:abstractNumId="25">
    <w:nsid w:val="37382afc"/>
    <w:multiLevelType w:val="hybridMultilevel"/>
    <w:tmpl w:val="dc203f04"/>
    <w:lvl w:ilvl="0" w:tplc="48b6d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26">
    <w:nsid w:val="59211525"/>
    <w:multiLevelType w:val="hybridMultilevel"/>
    <w:tmpl w:val="dc203f04"/>
    <w:lvl w:ilvl="0" w:tplc="48b6d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27">
    <w:nsid w:val="5261232d"/>
    <w:multiLevelType w:val="hybridMultilevel"/>
    <w:tmpl w:val="4d20470c"/>
    <w:lvl w:ilvl="0" w:tplc="409000f">
      <w:start w:val="1"/>
      <w:lvlText w:val="%1."/>
      <w:lvlJc w:val="left"/>
      <w:pPr>
        <w:ind w:left="880" w:hanging="400"/>
      </w:pPr>
      <w:rPr>
        <w:rFonts w:hint="eastAsia"/>
      </w:rPr>
    </w:lvl>
    <w:lvl w:ilvl="1" w:tplc="e9e6cd62">
      <w:start w:val="1"/>
      <w:numFmt w:val="ganada"/>
      <w:lvlText w:val="%2."/>
      <w:lvlJc w:val="left"/>
      <w:pPr>
        <w:ind w:left="960" w:hanging="480"/>
      </w:pPr>
      <w:rPr>
        <w:rFonts w:hint="default"/>
      </w:rPr>
    </w:lvl>
    <w:lvl w:ilvl="2" w:tentative="on" w:tplc="409001b">
      <w:start w:val="1"/>
      <w:numFmt w:val="lowerRoman"/>
      <w:lvlText w:val="%3."/>
      <w:lvlJc w:val="right"/>
      <w:pPr>
        <w:ind w:left="1280" w:hanging="400"/>
      </w:pPr>
    </w:lvl>
    <w:lvl w:ilvl="3" w:tentative="on" w:tplc="409000f">
      <w:start w:val="1"/>
      <w:lvlText w:val="%4."/>
      <w:lvlJc w:val="left"/>
      <w:pPr>
        <w:ind w:left="1680" w:hanging="400"/>
      </w:pPr>
    </w:lvl>
    <w:lvl w:ilvl="4" w:tentative="on" w:tplc="4090019">
      <w:start w:val="1"/>
      <w:numFmt w:val="upperLetter"/>
      <w:lvlText w:val="%5."/>
      <w:lvlJc w:val="left"/>
      <w:pPr>
        <w:ind w:left="2080" w:hanging="400"/>
      </w:pPr>
    </w:lvl>
    <w:lvl w:ilvl="5" w:tentative="on" w:tplc="409001b">
      <w:start w:val="1"/>
      <w:numFmt w:val="lowerRoman"/>
      <w:lvlText w:val="%6."/>
      <w:lvlJc w:val="right"/>
      <w:pPr>
        <w:ind w:left="2480" w:hanging="400"/>
      </w:pPr>
    </w:lvl>
    <w:lvl w:ilvl="6" w:tentative="on" w:tplc="409000f">
      <w:start w:val="1"/>
      <w:lvlText w:val="%7."/>
      <w:lvlJc w:val="left"/>
      <w:pPr>
        <w:ind w:left="2880" w:hanging="400"/>
      </w:pPr>
    </w:lvl>
    <w:lvl w:ilvl="7" w:tentative="on" w:tplc="4090019">
      <w:start w:val="1"/>
      <w:numFmt w:val="upperLetter"/>
      <w:lvlText w:val="%8."/>
      <w:lvlJc w:val="left"/>
      <w:pPr>
        <w:ind w:left="3280" w:hanging="400"/>
      </w:pPr>
    </w:lvl>
    <w:lvl w:ilvl="8" w:tentative="on" w:tplc="409001b">
      <w:start w:val="1"/>
      <w:numFmt w:val="lowerRoman"/>
      <w:lvlText w:val="%9."/>
      <w:lvlJc w:val="right"/>
      <w:pPr>
        <w:ind w:left="3680" w:hanging="400"/>
      </w:pPr>
    </w:lvl>
  </w:abstractNum>
  <w:abstractNum w:abstractNumId="28">
    <w:nsid w:val="35d56ca7"/>
    <w:multiLevelType w:val="hybridMultilevel"/>
    <w:tmpl w:val="4d20470c"/>
    <w:lvl w:ilvl="0" w:tplc="409000f">
      <w:start w:val="1"/>
      <w:lvlText w:val="%1."/>
      <w:lvlJc w:val="left"/>
      <w:pPr>
        <w:ind w:left="880" w:hanging="400"/>
      </w:pPr>
      <w:rPr>
        <w:rFonts w:hint="eastAsia"/>
      </w:rPr>
    </w:lvl>
    <w:lvl w:ilvl="1" w:tplc="e9e6cd62">
      <w:start w:val="1"/>
      <w:numFmt w:val="ganada"/>
      <w:lvlText w:val="%2."/>
      <w:lvlJc w:val="left"/>
      <w:pPr>
        <w:ind w:left="960" w:hanging="480"/>
      </w:pPr>
      <w:rPr>
        <w:rFonts w:hint="default"/>
      </w:rPr>
    </w:lvl>
    <w:lvl w:ilvl="2" w:tentative="on" w:tplc="409001b">
      <w:start w:val="1"/>
      <w:numFmt w:val="lowerRoman"/>
      <w:lvlText w:val="%3."/>
      <w:lvlJc w:val="right"/>
      <w:pPr>
        <w:ind w:left="1280" w:hanging="400"/>
      </w:pPr>
    </w:lvl>
    <w:lvl w:ilvl="3" w:tentative="on" w:tplc="409000f">
      <w:start w:val="1"/>
      <w:lvlText w:val="%4."/>
      <w:lvlJc w:val="left"/>
      <w:pPr>
        <w:ind w:left="1680" w:hanging="400"/>
      </w:pPr>
    </w:lvl>
    <w:lvl w:ilvl="4" w:tentative="on" w:tplc="4090019">
      <w:start w:val="1"/>
      <w:numFmt w:val="upperLetter"/>
      <w:lvlText w:val="%5."/>
      <w:lvlJc w:val="left"/>
      <w:pPr>
        <w:ind w:left="2080" w:hanging="400"/>
      </w:pPr>
    </w:lvl>
    <w:lvl w:ilvl="5" w:tentative="on" w:tplc="409001b">
      <w:start w:val="1"/>
      <w:numFmt w:val="lowerRoman"/>
      <w:lvlText w:val="%6."/>
      <w:lvlJc w:val="right"/>
      <w:pPr>
        <w:ind w:left="2480" w:hanging="400"/>
      </w:pPr>
    </w:lvl>
    <w:lvl w:ilvl="6" w:tentative="on" w:tplc="409000f">
      <w:start w:val="1"/>
      <w:lvlText w:val="%7."/>
      <w:lvlJc w:val="left"/>
      <w:pPr>
        <w:ind w:left="2880" w:hanging="400"/>
      </w:pPr>
    </w:lvl>
    <w:lvl w:ilvl="7" w:tentative="on" w:tplc="4090019">
      <w:start w:val="1"/>
      <w:numFmt w:val="upperLetter"/>
      <w:lvlText w:val="%8."/>
      <w:lvlJc w:val="left"/>
      <w:pPr>
        <w:ind w:left="3280" w:hanging="400"/>
      </w:pPr>
    </w:lvl>
    <w:lvl w:ilvl="8" w:tentative="on" w:tplc="409001b">
      <w:start w:val="1"/>
      <w:numFmt w:val="lowerRoman"/>
      <w:lvlText w:val="%9."/>
      <w:lvlJc w:val="right"/>
      <w:pPr>
        <w:ind w:left="3680" w:hanging="400"/>
      </w:pPr>
    </w:lvl>
  </w:abstractNum>
  <w:abstractNum w:abstractNumId="29">
    <w:nsid w:val="6863796d"/>
    <w:multiLevelType w:val="hybridMultilevel"/>
    <w:tmpl w:val="728245b2"/>
    <w:lvl w:ilvl="0" w:tplc="48b6d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30">
    <w:nsid w:val="1c57660b"/>
    <w:multiLevelType w:val="hybridMultilevel"/>
    <w:tmpl w:val="dfa2c7fe"/>
    <w:lvl w:ilvl="0" w:tplc="409000f">
      <w:start w:val="1"/>
      <w:lvlText w:val="%1."/>
      <w:lvlJc w:val="left"/>
      <w:pPr>
        <w:ind w:left="84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80" w:hanging="400"/>
      </w:pPr>
    </w:lvl>
    <w:lvl w:ilvl="2" w:tentative="on" w:tplc="409001b">
      <w:start w:val="1"/>
      <w:numFmt w:val="lowerRoman"/>
      <w:lvlText w:val="%3."/>
      <w:lvlJc w:val="right"/>
      <w:pPr>
        <w:ind w:left="1680" w:hanging="400"/>
      </w:pPr>
    </w:lvl>
    <w:lvl w:ilvl="3" w:tentative="on" w:tplc="409000f">
      <w:start w:val="1"/>
      <w:lvlText w:val="%4."/>
      <w:lvlJc w:val="left"/>
      <w:pPr>
        <w:ind w:left="2080" w:hanging="400"/>
      </w:pPr>
    </w:lvl>
    <w:lvl w:ilvl="4" w:tentative="on" w:tplc="4090019">
      <w:start w:val="1"/>
      <w:numFmt w:val="upperLetter"/>
      <w:lvlText w:val="%5."/>
      <w:lvlJc w:val="left"/>
      <w:pPr>
        <w:ind w:left="2480" w:hanging="400"/>
      </w:pPr>
    </w:lvl>
    <w:lvl w:ilvl="5" w:tentative="on" w:tplc="409001b">
      <w:start w:val="1"/>
      <w:numFmt w:val="lowerRoman"/>
      <w:lvlText w:val="%6."/>
      <w:lvlJc w:val="right"/>
      <w:pPr>
        <w:ind w:left="2880" w:hanging="400"/>
      </w:pPr>
    </w:lvl>
    <w:lvl w:ilvl="6" w:tentative="on" w:tplc="409000f">
      <w:start w:val="1"/>
      <w:lvlText w:val="%7."/>
      <w:lvlJc w:val="left"/>
      <w:pPr>
        <w:ind w:left="3280" w:hanging="400"/>
      </w:pPr>
    </w:lvl>
    <w:lvl w:ilvl="7" w:tentative="on" w:tplc="4090019">
      <w:start w:val="1"/>
      <w:numFmt w:val="upperLetter"/>
      <w:lvlText w:val="%8."/>
      <w:lvlJc w:val="left"/>
      <w:pPr>
        <w:ind w:left="3680" w:hanging="400"/>
      </w:pPr>
    </w:lvl>
    <w:lvl w:ilvl="8" w:tentative="on" w:tplc="409001b">
      <w:start w:val="1"/>
      <w:numFmt w:val="lowerRoman"/>
      <w:lvlText w:val="%9."/>
      <w:lvlJc w:val="right"/>
      <w:pPr>
        <w:ind w:left="4080" w:hanging="400"/>
      </w:pPr>
    </w:lvl>
  </w:abstractNum>
  <w:abstractNum w:abstractNumId="31">
    <w:nsid w:val="2b4069d9"/>
    <w:multiLevelType w:val="hybridMultilevel"/>
    <w:tmpl w:val="dfa2c7fe"/>
    <w:lvl w:ilvl="0" w:tplc="409000f">
      <w:start w:val="1"/>
      <w:lvlText w:val="%1."/>
      <w:lvlJc w:val="left"/>
      <w:pPr>
        <w:ind w:left="84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80" w:hanging="400"/>
      </w:pPr>
    </w:lvl>
    <w:lvl w:ilvl="2" w:tentative="on" w:tplc="409001b">
      <w:start w:val="1"/>
      <w:numFmt w:val="lowerRoman"/>
      <w:lvlText w:val="%3."/>
      <w:lvlJc w:val="right"/>
      <w:pPr>
        <w:ind w:left="1680" w:hanging="400"/>
      </w:pPr>
    </w:lvl>
    <w:lvl w:ilvl="3" w:tentative="on" w:tplc="409000f">
      <w:start w:val="1"/>
      <w:lvlText w:val="%4."/>
      <w:lvlJc w:val="left"/>
      <w:pPr>
        <w:ind w:left="2080" w:hanging="400"/>
      </w:pPr>
    </w:lvl>
    <w:lvl w:ilvl="4" w:tentative="on" w:tplc="4090019">
      <w:start w:val="1"/>
      <w:numFmt w:val="upperLetter"/>
      <w:lvlText w:val="%5."/>
      <w:lvlJc w:val="left"/>
      <w:pPr>
        <w:ind w:left="2480" w:hanging="400"/>
      </w:pPr>
    </w:lvl>
    <w:lvl w:ilvl="5" w:tentative="on" w:tplc="409001b">
      <w:start w:val="1"/>
      <w:numFmt w:val="lowerRoman"/>
      <w:lvlText w:val="%6."/>
      <w:lvlJc w:val="right"/>
      <w:pPr>
        <w:ind w:left="2880" w:hanging="400"/>
      </w:pPr>
    </w:lvl>
    <w:lvl w:ilvl="6" w:tentative="on" w:tplc="409000f">
      <w:start w:val="1"/>
      <w:lvlText w:val="%7."/>
      <w:lvlJc w:val="left"/>
      <w:pPr>
        <w:ind w:left="3280" w:hanging="400"/>
      </w:pPr>
    </w:lvl>
    <w:lvl w:ilvl="7" w:tentative="on" w:tplc="4090019">
      <w:start w:val="1"/>
      <w:numFmt w:val="upperLetter"/>
      <w:lvlText w:val="%8."/>
      <w:lvlJc w:val="left"/>
      <w:pPr>
        <w:ind w:left="3680" w:hanging="400"/>
      </w:pPr>
    </w:lvl>
    <w:lvl w:ilvl="8" w:tentative="on" w:tplc="409001b">
      <w:start w:val="1"/>
      <w:numFmt w:val="lowerRoman"/>
      <w:lvlText w:val="%9."/>
      <w:lvlJc w:val="right"/>
      <w:pPr>
        <w:ind w:left="4080" w:hanging="400"/>
      </w:pPr>
    </w:lvl>
  </w:abstractNum>
  <w:abstractNum w:abstractNumId="32">
    <w:nsid w:val="2f99476d"/>
    <w:multiLevelType w:val="hybridMultilevel"/>
    <w:tmpl w:val="dfa2c7fe"/>
    <w:lvl w:ilvl="0" w:tplc="409000f">
      <w:start w:val="1"/>
      <w:lvlText w:val="%1."/>
      <w:lvlJc w:val="left"/>
      <w:pPr>
        <w:ind w:left="84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80" w:hanging="400"/>
      </w:pPr>
    </w:lvl>
    <w:lvl w:ilvl="2" w:tentative="on" w:tplc="409001b">
      <w:start w:val="1"/>
      <w:numFmt w:val="lowerRoman"/>
      <w:lvlText w:val="%3."/>
      <w:lvlJc w:val="right"/>
      <w:pPr>
        <w:ind w:left="1680" w:hanging="400"/>
      </w:pPr>
    </w:lvl>
    <w:lvl w:ilvl="3" w:tentative="on" w:tplc="409000f">
      <w:start w:val="1"/>
      <w:lvlText w:val="%4."/>
      <w:lvlJc w:val="left"/>
      <w:pPr>
        <w:ind w:left="2080" w:hanging="400"/>
      </w:pPr>
    </w:lvl>
    <w:lvl w:ilvl="4" w:tentative="on" w:tplc="4090019">
      <w:start w:val="1"/>
      <w:numFmt w:val="upperLetter"/>
      <w:lvlText w:val="%5."/>
      <w:lvlJc w:val="left"/>
      <w:pPr>
        <w:ind w:left="2480" w:hanging="400"/>
      </w:pPr>
    </w:lvl>
    <w:lvl w:ilvl="5" w:tentative="on" w:tplc="409001b">
      <w:start w:val="1"/>
      <w:numFmt w:val="lowerRoman"/>
      <w:lvlText w:val="%6."/>
      <w:lvlJc w:val="right"/>
      <w:pPr>
        <w:ind w:left="2880" w:hanging="400"/>
      </w:pPr>
    </w:lvl>
    <w:lvl w:ilvl="6" w:tentative="on" w:tplc="409000f">
      <w:start w:val="1"/>
      <w:lvlText w:val="%7."/>
      <w:lvlJc w:val="left"/>
      <w:pPr>
        <w:ind w:left="3280" w:hanging="400"/>
      </w:pPr>
    </w:lvl>
    <w:lvl w:ilvl="7" w:tentative="on" w:tplc="4090019">
      <w:start w:val="1"/>
      <w:numFmt w:val="upperLetter"/>
      <w:lvlText w:val="%8."/>
      <w:lvlJc w:val="left"/>
      <w:pPr>
        <w:ind w:left="3680" w:hanging="400"/>
      </w:pPr>
    </w:lvl>
    <w:lvl w:ilvl="8" w:tentative="on" w:tplc="409001b">
      <w:start w:val="1"/>
      <w:numFmt w:val="lowerRoman"/>
      <w:lvlText w:val="%9."/>
      <w:lvlJc w:val="right"/>
      <w:pPr>
        <w:ind w:left="4080" w:hanging="400"/>
      </w:pPr>
    </w:lvl>
  </w:abstractNum>
  <w:abstractNum w:abstractNumId="33">
    <w:nsid w:val="505c32db"/>
    <w:multiLevelType w:val="hybridMultilevel"/>
    <w:tmpl w:val="58d4220a"/>
    <w:lvl w:ilvl="0" w:tplc="4090011">
      <w:start w:val="1"/>
      <w:numFmt w:val="decimalEnclosedCircle"/>
      <w:lvlText w:val="%1"/>
      <w:lvlJc w:val="left"/>
      <w:pPr>
        <w:ind w:left="400" w:hanging="400"/>
      </w:p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34">
    <w:nsid w:val="63a75a10"/>
    <w:multiLevelType w:val="hybridMultilevel"/>
    <w:tmpl w:val="c05412de"/>
    <w:lvl w:ilvl="0" w:tplc="409000f">
      <w:start w:val="1"/>
      <w:lvlText w:val="%1."/>
      <w:lvlJc w:val="left"/>
      <w:pPr>
        <w:ind w:left="880" w:hanging="400"/>
      </w:pPr>
      <w:rPr>
        <w:rFonts w:hint="eastAsia"/>
      </w:rPr>
    </w:lvl>
    <w:lvl w:ilvl="1" w:tentative="on" w:tplc="4090019">
      <w:start w:val="1"/>
      <w:numFmt w:val="upperLetter"/>
      <w:lvlText w:val="%2."/>
      <w:lvlJc w:val="left"/>
      <w:pPr>
        <w:ind w:left="880" w:hanging="400"/>
      </w:pPr>
    </w:lvl>
    <w:lvl w:ilvl="2" w:tentative="on" w:tplc="409001b">
      <w:start w:val="1"/>
      <w:numFmt w:val="lowerRoman"/>
      <w:lvlText w:val="%3."/>
      <w:lvlJc w:val="right"/>
      <w:pPr>
        <w:ind w:left="1280" w:hanging="400"/>
      </w:pPr>
    </w:lvl>
    <w:lvl w:ilvl="3" w:tentative="on" w:tplc="409000f">
      <w:start w:val="1"/>
      <w:lvlText w:val="%4."/>
      <w:lvlJc w:val="left"/>
      <w:pPr>
        <w:ind w:left="1680" w:hanging="400"/>
      </w:pPr>
    </w:lvl>
    <w:lvl w:ilvl="4" w:tentative="on" w:tplc="4090019">
      <w:start w:val="1"/>
      <w:numFmt w:val="upperLetter"/>
      <w:lvlText w:val="%5."/>
      <w:lvlJc w:val="left"/>
      <w:pPr>
        <w:ind w:left="2080" w:hanging="400"/>
      </w:pPr>
    </w:lvl>
    <w:lvl w:ilvl="5" w:tentative="on" w:tplc="409001b">
      <w:start w:val="1"/>
      <w:numFmt w:val="lowerRoman"/>
      <w:lvlText w:val="%6."/>
      <w:lvlJc w:val="right"/>
      <w:pPr>
        <w:ind w:left="2480" w:hanging="400"/>
      </w:pPr>
    </w:lvl>
    <w:lvl w:ilvl="6" w:tentative="on" w:tplc="409000f">
      <w:start w:val="1"/>
      <w:lvlText w:val="%7."/>
      <w:lvlJc w:val="left"/>
      <w:pPr>
        <w:ind w:left="2880" w:hanging="400"/>
      </w:pPr>
    </w:lvl>
    <w:lvl w:ilvl="7" w:tentative="on" w:tplc="4090019">
      <w:start w:val="1"/>
      <w:numFmt w:val="upperLetter"/>
      <w:lvlText w:val="%8."/>
      <w:lvlJc w:val="left"/>
      <w:pPr>
        <w:ind w:left="3280" w:hanging="400"/>
      </w:pPr>
    </w:lvl>
    <w:lvl w:ilvl="8" w:tentative="on" w:tplc="409001b">
      <w:start w:val="1"/>
      <w:numFmt w:val="lowerRoman"/>
      <w:lvlText w:val="%9."/>
      <w:lvlJc w:val="right"/>
      <w:pPr>
        <w:ind w:left="3680" w:hanging="400"/>
      </w:pPr>
    </w:lvl>
  </w:abstractNum>
  <w:abstractNum w:abstractNumId="35">
    <w:nsid w:val="27c57ab0"/>
    <w:multiLevelType w:val="hybridMultilevel"/>
    <w:tmpl w:val="22aec374"/>
    <w:lvl w:ilvl="0" w:tplc="4090011">
      <w:start w:val="1"/>
      <w:numFmt w:val="decimalEnclosedCircle"/>
      <w:lvlText w:val="%1"/>
      <w:lvlJc w:val="left"/>
      <w:pPr>
        <w:ind w:left="400" w:hanging="400"/>
      </w:p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36">
    <w:nsid w:val="d3272d2"/>
    <w:multiLevelType w:val="hybridMultilevel"/>
    <w:tmpl w:val="64a81e62"/>
    <w:lvl w:ilvl="0" w:tplc="48b6d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37">
    <w:nsid w:val="44f94b3e"/>
    <w:multiLevelType w:val="hybridMultilevel"/>
    <w:tmpl w:val="f94e69e"/>
    <w:lvl w:ilvl="0" w:tplc="4090011">
      <w:start w:val="1"/>
      <w:numFmt w:val="decimalEnclosedCircle"/>
      <w:lvlText w:val="%1"/>
      <w:lvlJc w:val="left"/>
      <w:pPr>
        <w:ind w:left="400" w:hanging="400"/>
      </w:p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37"/>
  </w:num>
  <w:num w:numId="10">
    <w:abstractNumId w:val="7"/>
  </w:num>
  <w:num w:numId="11">
    <w:abstractNumId w:val="8"/>
  </w:num>
  <w:num w:numId="12">
    <w:abstractNumId w:val="18"/>
  </w:num>
  <w:num w:numId="13">
    <w:abstractNumId w:val="9"/>
  </w:num>
  <w:num w:numId="14">
    <w:abstractNumId w:val="19"/>
  </w:num>
  <w:num w:numId="15">
    <w:abstractNumId w:val="10"/>
  </w:num>
  <w:num w:numId="16">
    <w:abstractNumId w:val="11"/>
  </w:num>
  <w:num w:numId="17">
    <w:abstractNumId w:val="12"/>
  </w:num>
  <w:num w:numId="18">
    <w:abstractNumId w:val="16"/>
  </w:num>
  <w:num w:numId="19">
    <w:abstractNumId w:val="34"/>
  </w:num>
  <w:num w:numId="20">
    <w:abstractNumId w:val="20"/>
  </w:num>
  <w:num w:numId="21">
    <w:abstractNumId w:val="21"/>
  </w:num>
  <w:num w:numId="22">
    <w:abstractNumId w:val="25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6"/>
  </w:num>
  <w:num w:numId="34">
    <w:abstractNumId w:val="13"/>
  </w:num>
  <w:num w:numId="35">
    <w:abstractNumId w:val="35"/>
  </w:num>
  <w:num w:numId="36">
    <w:abstractNumId w:val="33"/>
  </w:num>
  <w:num w:numId="37">
    <w:abstractNumId w:val="1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60"/>
  <w:drawingGridVerticalSpacing w:val="435"/>
  <w:displayHorizontalDrawingGridEvery w:val="1"/>
  <w:displayVerticalDrawingGridEvery w:val="1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바탕체" w:eastAsia="바탕체" w:hAnsi="바탕체" w:cstheme="minorBidi"/>
        <w:color w:val="000000"/>
        <w:sz w:val="32"/>
        <w:szCs w:val="22"/>
        <w:kern w:val="2"/>
      </w:rPr>
    </w:rPrDefault>
    <w:pPrDefault>
      <w:pPr>
        <w:jc w:val="both"/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table" w:styleId="a5">
    <w:name w:val="Table Grid"/>
    <w:uiPriority w:val="59"/>
    <w:basedOn w:val="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pPr>
      <w:jc w:val="left"/>
      <w:spacing w:after="100" w:afterAutospacing="1" w:before="100" w:beforeAutospacing="1" w:line="240" w:lineRule="auto"/>
    </w:pPr>
    <w:rPr>
      <w:rFonts w:ascii="굴림" w:eastAsia="굴림" w:hAnsi="굴림" w:cs="굴림"/>
      <w:color w:val="auto"/>
      <w:sz w:val="24"/>
      <w:szCs w:val="24"/>
      <w:kern w:val="0"/>
    </w:rPr>
  </w:style>
  <w:style w:type="paragraph" w:styleId="a7">
    <w:name w:val="List Paragraph"/>
    <w:uiPriority w:val="34"/>
    <w:basedOn w:val="a"/>
    <w:qFormat/>
    <w:pPr>
      <w:ind w:leftChars="400" w:left="800"/>
    </w:pPr>
  </w:style>
  <w:style w:type="paragraph" w:customStyle="1" w:styleId="a8">
    <w:name w:val="타이틀"/>
    <w:basedOn w:val="a"/>
    <w:pPr>
      <w:autoSpaceDE w:val="off"/>
      <w:autoSpaceDN w:val="off"/>
      <w:widowControl w:val="off"/>
      <w:jc w:val="center"/>
      <w:spacing w:after="640" w:line="2000" w:lineRule="exact"/>
      <w:textAlignment w:val="baseline"/>
    </w:pPr>
    <w:rPr>
      <w:rFonts w:ascii="굴림" w:eastAsia="굴림" w:hAnsi="굴림" w:cs="굴림"/>
      <w:b/>
      <w:bCs/>
      <w:color w:val="000000"/>
      <w:w w:val="90"/>
      <w:sz w:val="28"/>
      <w:szCs w:val="28"/>
      <w:kern w:val="0"/>
    </w:rPr>
  </w:style>
  <w:style w:type="paragraph" w:styleId="a9">
    <w:name w:val="caption"/>
    <w:uiPriority w:val="35"/>
    <w:basedOn w:val="a"/>
    <w:qFormat/>
    <w:pPr>
      <w:ind w:left="904" w:hanging="452"/>
      <w:autoSpaceDE w:val="off"/>
      <w:autoSpaceDN w:val="off"/>
      <w:widowControl w:val="off"/>
      <w:wordWrap w:val="off"/>
      <w:snapToGrid w:val="0"/>
      <w:spacing w:line="1700" w:lineRule="exact"/>
      <w:textAlignment w:val="baseline"/>
    </w:pPr>
    <w:rPr>
      <w:rFonts w:ascii="굴림" w:eastAsia="굴림" w:hAnsi="굴림" w:cs="굴림"/>
      <w:color w:val="000000"/>
      <w:w w:val="98"/>
      <w:sz w:val="16"/>
      <w:szCs w:val="16"/>
      <w:kern w:val="0"/>
      <w:spacing w:val="-4"/>
    </w:rPr>
  </w:style>
  <w:style w:type="paragraph" w:customStyle="1" w:styleId="aa">
    <w:name w:val="표가운데"/>
    <w:basedOn w:val="a"/>
    <w:pPr>
      <w:autoSpaceDE w:val="off"/>
      <w:autoSpaceDN w:val="off"/>
      <w:widowControl w:val="off"/>
      <w:snapToGrid w:val="0"/>
      <w:jc w:val="center"/>
      <w:spacing w:line="1200" w:lineRule="exact"/>
      <w:textAlignment w:val="baseline"/>
    </w:pPr>
    <w:rPr>
      <w:rFonts w:ascii="굴림" w:eastAsia="굴림" w:hAnsi="굴림" w:cs="굴림"/>
      <w:color w:val="000000"/>
      <w:sz w:val="16"/>
      <w:szCs w:val="16"/>
      <w:kern w:val="0"/>
      <w:spacing w:val="-10"/>
    </w:rPr>
  </w:style>
  <w:style w:type="paragraph" w:customStyle="1" w:styleId="ab">
    <w:name w:val="바탕글"/>
    <w:basedOn w:val="a"/>
    <w:pPr>
      <w:autoSpaceDE w:val="off"/>
      <w:autoSpaceDN w:val="off"/>
      <w:widowControl w:val="off"/>
      <w:wordWrap w:val="off"/>
      <w:spacing w:line="384" w:lineRule="auto"/>
      <w:textAlignment w:val="baseline"/>
    </w:pPr>
    <w:rPr>
      <w:rFonts w:ascii="굴림" w:eastAsia="굴림" w:hAnsi="굴림" w:cs="굴림"/>
      <w:color w:val="000000"/>
      <w:sz w:val="20"/>
      <w:szCs w:val="20"/>
      <w:kern w:val="0"/>
    </w:rPr>
  </w:style>
  <w:style w:type="paragraph" w:customStyle="1" w:styleId="ac">
    <w:name w:val="표제목"/>
    <w:basedOn w:val="a"/>
    <w:pPr>
      <w:autoSpaceDE w:val="off"/>
      <w:autoSpaceDN w:val="off"/>
      <w:widowControl w:val="off"/>
      <w:spacing w:line="1700" w:lineRule="exact"/>
      <w:textAlignment w:val="baseline"/>
    </w:pPr>
    <w:rPr>
      <w:rFonts w:ascii="굴림" w:eastAsia="굴림" w:hAnsi="굴림" w:cs="굴림"/>
      <w:color w:val="000000"/>
      <w:sz w:val="18"/>
      <w:szCs w:val="18"/>
      <w:kern w:val="0"/>
      <w:spacing w:val="-10"/>
    </w:rPr>
  </w:style>
  <w:style w:type="paragraph" w:customStyle="1" w:styleId="ad">
    <w:name w:val="표위"/>
    <w:basedOn w:val="a"/>
    <w:pPr>
      <w:autoSpaceDE w:val="off"/>
      <w:autoSpaceDN w:val="off"/>
      <w:widowControl w:val="off"/>
      <w:snapToGrid w:val="0"/>
      <w:jc w:val="center"/>
      <w:spacing w:line="1200" w:lineRule="exact"/>
      <w:textAlignment w:val="baseline"/>
    </w:pPr>
    <w:rPr>
      <w:rFonts w:ascii="굴림" w:eastAsia="굴림" w:hAnsi="굴림" w:cs="굴림"/>
      <w:color w:val="000000"/>
      <w:sz w:val="16"/>
      <w:szCs w:val="16"/>
      <w:kern w:val="0"/>
    </w:rPr>
  </w:style>
  <w:style w:type="paragraph" w:customStyle="1" w:styleId="ae">
    <w:name w:val="표안"/>
    <w:basedOn w:val="a"/>
    <w:pPr>
      <w:autoSpaceDE w:val="off"/>
      <w:autoSpaceDN w:val="off"/>
      <w:widowControl w:val="off"/>
      <w:snapToGrid w:val="0"/>
      <w:spacing w:line="1200" w:lineRule="exact"/>
      <w:textAlignment w:val="baseline"/>
    </w:pPr>
    <w:rPr>
      <w:rFonts w:ascii="굴림" w:eastAsia="굴림" w:hAnsi="굴림" w:cs="굴림"/>
      <w:color w:val="000000"/>
      <w:sz w:val="16"/>
      <w:szCs w:val="16"/>
      <w:kern w:val="0"/>
      <w:spacing w:val="-10"/>
    </w:rPr>
  </w:style>
  <w:style w:type="paragraph" w:styleId="af">
    <w:name w:val="Balloon Text"/>
    <w:uiPriority w:val="99"/>
    <w:basedOn w:val="a"/>
    <w:link w:val="Char1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f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f1">
    <w:name w:val="annotation text"/>
    <w:uiPriority w:val="99"/>
    <w:basedOn w:val="a"/>
    <w:link w:val="Char2"/>
    <w:semiHidden/>
    <w:unhideWhenUsed/>
    <w:pPr>
      <w:jc w:val="left"/>
    </w:pPr>
  </w:style>
  <w:style w:type="character" w:customStyle="1" w:styleId="Char2">
    <w:name w:val="메모 텍스트 Char"/>
    <w:uiPriority w:val="99"/>
    <w:basedOn w:val="a0"/>
    <w:link w:val="af1"/>
    <w:semiHidden/>
  </w:style>
  <w:style w:type="paragraph" w:styleId="af2">
    <w:name w:val="annotation subject"/>
    <w:uiPriority w:val="99"/>
    <w:basedOn w:val="af1"/>
    <w:next w:val="af1"/>
    <w:link w:val="Char3"/>
    <w:semiHidden/>
    <w:unhideWhenUsed/>
    <w:rPr>
      <w:b/>
      <w:bCs/>
    </w:rPr>
  </w:style>
  <w:style w:type="character" w:customStyle="1" w:styleId="Char3">
    <w:name w:val="메모 주제 Char"/>
    <w:uiPriority w:val="99"/>
    <w:basedOn w:val="Char2"/>
    <w:link w:val="af2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김윤미</dc:creator>
  <cp:keywords/>
  <dc:description/>
  <cp:lastModifiedBy>User</cp:lastModifiedBy>
  <cp:revision>1</cp:revision>
  <dcterms:created xsi:type="dcterms:W3CDTF">2021-12-13T15:05:00Z</dcterms:created>
  <dcterms:modified xsi:type="dcterms:W3CDTF">2021-12-30T06:47:32Z</dcterms:modified>
  <cp:lastPrinted>2021-09-24T02:31:00Z</cp:lastPrint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